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70" w:rsidRPr="005D4570" w:rsidRDefault="005D4570" w:rsidP="005D4570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t-BR"/>
        </w:rPr>
      </w:pPr>
      <w:r w:rsidRPr="005D4570">
        <w:rPr>
          <w:rFonts w:ascii="Arial" w:eastAsia="Times New Roman" w:hAnsi="Arial" w:cs="Arial"/>
          <w:b/>
          <w:szCs w:val="24"/>
          <w:lang w:eastAsia="pt-BR"/>
        </w:rPr>
        <w:t xml:space="preserve">PORTARIA Nº 408, DE 29 DE JUNHO DE </w:t>
      </w:r>
      <w:proofErr w:type="gramStart"/>
      <w:r w:rsidRPr="005D4570">
        <w:rPr>
          <w:rFonts w:ascii="Arial" w:eastAsia="Times New Roman" w:hAnsi="Arial" w:cs="Arial"/>
          <w:b/>
          <w:szCs w:val="24"/>
          <w:lang w:eastAsia="pt-BR"/>
        </w:rPr>
        <w:t>2018</w:t>
      </w:r>
      <w:proofErr w:type="gramEnd"/>
    </w:p>
    <w:p w:rsidR="005D4570" w:rsidRPr="005D4570" w:rsidRDefault="005D4570" w:rsidP="005D4570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t-BR"/>
        </w:rPr>
      </w:pPr>
      <w:r w:rsidRPr="005D4570">
        <w:rPr>
          <w:rFonts w:ascii="Arial" w:eastAsia="Times New Roman" w:hAnsi="Arial" w:cs="Arial"/>
          <w:b/>
          <w:szCs w:val="24"/>
          <w:lang w:eastAsia="pt-BR"/>
        </w:rPr>
        <w:t>DOU 02.07.18, pg.99</w:t>
      </w:r>
    </w:p>
    <w:p w:rsidR="005D4570" w:rsidRPr="005D4570" w:rsidRDefault="005D4570" w:rsidP="005D457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5D4570" w:rsidRPr="005D4570" w:rsidRDefault="005D4570" w:rsidP="005D4570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5D4570">
        <w:rPr>
          <w:rFonts w:ascii="Arial" w:eastAsia="Times New Roman" w:hAnsi="Arial" w:cs="Arial"/>
          <w:b/>
          <w:szCs w:val="24"/>
          <w:lang w:eastAsia="pt-BR"/>
        </w:rPr>
        <w:t xml:space="preserve">Altera a Portaria nº 368, de 07 de junho de 2018, publicada no Diário Oficial da União de </w:t>
      </w:r>
      <w:proofErr w:type="gramStart"/>
      <w:r w:rsidRPr="005D4570">
        <w:rPr>
          <w:rFonts w:ascii="Arial" w:eastAsia="Times New Roman" w:hAnsi="Arial" w:cs="Arial"/>
          <w:b/>
          <w:szCs w:val="24"/>
          <w:lang w:eastAsia="pt-BR"/>
        </w:rPr>
        <w:t>8</w:t>
      </w:r>
      <w:proofErr w:type="gramEnd"/>
      <w:r w:rsidRPr="005D4570">
        <w:rPr>
          <w:rFonts w:ascii="Arial" w:eastAsia="Times New Roman" w:hAnsi="Arial" w:cs="Arial"/>
          <w:b/>
          <w:szCs w:val="24"/>
          <w:lang w:eastAsia="pt-BR"/>
        </w:rPr>
        <w:t xml:space="preserve"> de junho de 2018, Seção 1, nº 109, página 166, que regulamenta o Processo de seleção de propostas para participação no Programa Nacional de Habitação Rural, integrante do Programa Minha Casa, Minha Vida.</w:t>
      </w:r>
    </w:p>
    <w:p w:rsidR="005D4570" w:rsidRPr="005D4570" w:rsidRDefault="005D4570" w:rsidP="005D457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5D4570" w:rsidRDefault="005D4570" w:rsidP="005D457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D4570">
        <w:rPr>
          <w:rFonts w:ascii="Arial" w:eastAsia="Times New Roman" w:hAnsi="Arial" w:cs="Arial"/>
          <w:szCs w:val="24"/>
          <w:lang w:eastAsia="pt-BR"/>
        </w:rPr>
        <w:t>O MINISTRO DE ESTADO DAS CIDADES, no uso de suas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5D4570">
        <w:rPr>
          <w:rFonts w:ascii="Arial" w:eastAsia="Times New Roman" w:hAnsi="Arial" w:cs="Arial"/>
          <w:szCs w:val="24"/>
          <w:lang w:eastAsia="pt-BR"/>
        </w:rPr>
        <w:t xml:space="preserve">atribuições legais, e considerando o art. 17 da Lei n° 11.977, de </w:t>
      </w:r>
      <w:proofErr w:type="gramStart"/>
      <w:r w:rsidRPr="005D4570">
        <w:rPr>
          <w:rFonts w:ascii="Arial" w:eastAsia="Times New Roman" w:hAnsi="Arial" w:cs="Arial"/>
          <w:szCs w:val="24"/>
          <w:lang w:eastAsia="pt-BR"/>
        </w:rPr>
        <w:t>7</w:t>
      </w:r>
      <w:proofErr w:type="gramEnd"/>
      <w:r w:rsidRPr="005D4570">
        <w:rPr>
          <w:rFonts w:ascii="Arial" w:eastAsia="Times New Roman" w:hAnsi="Arial" w:cs="Arial"/>
          <w:szCs w:val="24"/>
          <w:lang w:eastAsia="pt-BR"/>
        </w:rPr>
        <w:t xml:space="preserve"> de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5D4570">
        <w:rPr>
          <w:rFonts w:ascii="Arial" w:eastAsia="Times New Roman" w:hAnsi="Arial" w:cs="Arial"/>
          <w:szCs w:val="24"/>
          <w:lang w:eastAsia="pt-BR"/>
        </w:rPr>
        <w:t>julho de 2009, o art. 16 do Decreto n° 7.499, de 16 de junho de 2011,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5D4570">
        <w:rPr>
          <w:rFonts w:ascii="Arial" w:eastAsia="Times New Roman" w:hAnsi="Arial" w:cs="Arial"/>
          <w:szCs w:val="24"/>
          <w:lang w:eastAsia="pt-BR"/>
        </w:rPr>
        <w:t>resolve:</w:t>
      </w:r>
    </w:p>
    <w:p w:rsidR="005D4570" w:rsidRPr="005D4570" w:rsidRDefault="005D4570" w:rsidP="005D457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5D4570" w:rsidRPr="005D4570" w:rsidRDefault="005D4570" w:rsidP="005D457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D4570">
        <w:rPr>
          <w:rFonts w:ascii="Arial" w:eastAsia="Times New Roman" w:hAnsi="Arial" w:cs="Arial"/>
          <w:b/>
          <w:szCs w:val="24"/>
          <w:lang w:eastAsia="pt-BR"/>
        </w:rPr>
        <w:t>Art. 1º</w:t>
      </w:r>
      <w:r w:rsidRPr="005D4570">
        <w:rPr>
          <w:rFonts w:ascii="Arial" w:eastAsia="Times New Roman" w:hAnsi="Arial" w:cs="Arial"/>
          <w:szCs w:val="24"/>
          <w:lang w:eastAsia="pt-BR"/>
        </w:rPr>
        <w:t xml:space="preserve"> O art. 2º da Portaria nº 368, de </w:t>
      </w:r>
      <w:proofErr w:type="gramStart"/>
      <w:r w:rsidRPr="005D4570">
        <w:rPr>
          <w:rFonts w:ascii="Arial" w:eastAsia="Times New Roman" w:hAnsi="Arial" w:cs="Arial"/>
          <w:szCs w:val="24"/>
          <w:lang w:eastAsia="pt-BR"/>
        </w:rPr>
        <w:t>7</w:t>
      </w:r>
      <w:proofErr w:type="gramEnd"/>
      <w:r w:rsidRPr="005D4570">
        <w:rPr>
          <w:rFonts w:ascii="Arial" w:eastAsia="Times New Roman" w:hAnsi="Arial" w:cs="Arial"/>
          <w:szCs w:val="24"/>
          <w:lang w:eastAsia="pt-BR"/>
        </w:rPr>
        <w:t xml:space="preserve"> de junho de 2018, passa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5D4570">
        <w:rPr>
          <w:rFonts w:ascii="Arial" w:eastAsia="Times New Roman" w:hAnsi="Arial" w:cs="Arial"/>
          <w:szCs w:val="24"/>
          <w:lang w:eastAsia="pt-BR"/>
        </w:rPr>
        <w:t>a vigorar com a seguinte redação:</w:t>
      </w:r>
    </w:p>
    <w:p w:rsidR="005D4570" w:rsidRPr="005D4570" w:rsidRDefault="005D4570" w:rsidP="005D457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proofErr w:type="gramStart"/>
      <w:r w:rsidRPr="005D4570">
        <w:rPr>
          <w:rFonts w:ascii="Arial" w:eastAsia="Times New Roman" w:hAnsi="Arial" w:cs="Arial"/>
          <w:szCs w:val="24"/>
          <w:lang w:eastAsia="pt-BR"/>
        </w:rPr>
        <w:t>"Art. 2º As Entidades Organizadoras poderão apresentar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5D4570">
        <w:rPr>
          <w:rFonts w:ascii="Arial" w:eastAsia="Times New Roman" w:hAnsi="Arial" w:cs="Arial"/>
          <w:szCs w:val="24"/>
          <w:lang w:eastAsia="pt-BR"/>
        </w:rPr>
        <w:t>propostas aos Agentes Financeiros para participação nos processos de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5D4570">
        <w:rPr>
          <w:rFonts w:ascii="Arial" w:eastAsia="Times New Roman" w:hAnsi="Arial" w:cs="Arial"/>
          <w:szCs w:val="24"/>
          <w:lang w:eastAsia="pt-BR"/>
        </w:rPr>
        <w:t>seleção, compostos por duas fases, desde que o município esteja em sua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5D4570">
        <w:rPr>
          <w:rFonts w:ascii="Arial" w:eastAsia="Times New Roman" w:hAnsi="Arial" w:cs="Arial"/>
          <w:szCs w:val="24"/>
          <w:lang w:eastAsia="pt-BR"/>
        </w:rPr>
        <w:t>área de abrangência:</w:t>
      </w:r>
    </w:p>
    <w:p w:rsidR="005D4570" w:rsidRPr="005D4570" w:rsidRDefault="005D4570" w:rsidP="005D4570">
      <w:pPr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eastAsia="pt-BR"/>
        </w:rPr>
      </w:pPr>
      <w:proofErr w:type="gramEnd"/>
      <w:r w:rsidRPr="005D4570">
        <w:rPr>
          <w:rFonts w:ascii="Arial" w:eastAsia="Times New Roman" w:hAnsi="Arial" w:cs="Arial"/>
          <w:szCs w:val="24"/>
          <w:lang w:eastAsia="pt-BR"/>
        </w:rPr>
        <w:t>a) enquadramento, que se destina a verificar o atendimento ao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5D4570">
        <w:rPr>
          <w:rFonts w:ascii="Arial" w:eastAsia="Times New Roman" w:hAnsi="Arial" w:cs="Arial"/>
          <w:szCs w:val="24"/>
          <w:lang w:eastAsia="pt-BR"/>
        </w:rPr>
        <w:t xml:space="preserve">regramento e objetivos do programa; </w:t>
      </w:r>
      <w:proofErr w:type="gramStart"/>
      <w:r w:rsidRPr="005D4570">
        <w:rPr>
          <w:rFonts w:ascii="Arial" w:eastAsia="Times New Roman" w:hAnsi="Arial" w:cs="Arial"/>
          <w:szCs w:val="24"/>
          <w:lang w:eastAsia="pt-BR"/>
        </w:rPr>
        <w:t>e</w:t>
      </w:r>
      <w:proofErr w:type="gramEnd"/>
    </w:p>
    <w:p w:rsidR="005D4570" w:rsidRPr="005D4570" w:rsidRDefault="005D4570" w:rsidP="005D4570">
      <w:pPr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eastAsia="pt-BR"/>
        </w:rPr>
      </w:pPr>
      <w:r w:rsidRPr="005D4570">
        <w:rPr>
          <w:rFonts w:ascii="Arial" w:eastAsia="Times New Roman" w:hAnsi="Arial" w:cs="Arial"/>
          <w:szCs w:val="24"/>
          <w:lang w:eastAsia="pt-BR"/>
        </w:rPr>
        <w:t xml:space="preserve">b) </w:t>
      </w:r>
      <w:proofErr w:type="gramStart"/>
      <w:r w:rsidRPr="005D4570">
        <w:rPr>
          <w:rFonts w:ascii="Arial" w:eastAsia="Times New Roman" w:hAnsi="Arial" w:cs="Arial"/>
          <w:szCs w:val="24"/>
          <w:lang w:eastAsia="pt-BR"/>
        </w:rPr>
        <w:t>hierarquização de projetos, que consiste em eleger as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5D4570">
        <w:rPr>
          <w:rFonts w:ascii="Arial" w:eastAsia="Times New Roman" w:hAnsi="Arial" w:cs="Arial"/>
          <w:szCs w:val="24"/>
          <w:lang w:eastAsia="pt-BR"/>
        </w:rPr>
        <w:t xml:space="preserve">propostas até o limite dos recursos alocados ao </w:t>
      </w:r>
      <w:proofErr w:type="spellStart"/>
      <w:r w:rsidRPr="005D4570">
        <w:rPr>
          <w:rFonts w:ascii="Arial" w:eastAsia="Times New Roman" w:hAnsi="Arial" w:cs="Arial"/>
          <w:szCs w:val="24"/>
          <w:lang w:eastAsia="pt-BR"/>
        </w:rPr>
        <w:t>PNHR</w:t>
      </w:r>
      <w:proofErr w:type="spellEnd"/>
      <w:r w:rsidRPr="005D4570">
        <w:rPr>
          <w:rFonts w:ascii="Arial" w:eastAsia="Times New Roman" w:hAnsi="Arial" w:cs="Arial"/>
          <w:szCs w:val="24"/>
          <w:lang w:eastAsia="pt-BR"/>
        </w:rPr>
        <w:t>"</w:t>
      </w:r>
      <w:proofErr w:type="gramEnd"/>
    </w:p>
    <w:p w:rsidR="005D4570" w:rsidRDefault="005D4570" w:rsidP="005D4570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</w:p>
    <w:p w:rsidR="005D4570" w:rsidRPr="005D4570" w:rsidRDefault="005D4570" w:rsidP="005D457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D4570">
        <w:rPr>
          <w:rFonts w:ascii="Arial" w:eastAsia="Times New Roman" w:hAnsi="Arial" w:cs="Arial"/>
          <w:b/>
          <w:szCs w:val="24"/>
          <w:lang w:eastAsia="pt-BR"/>
        </w:rPr>
        <w:t>Art. 2º</w:t>
      </w:r>
      <w:r w:rsidRPr="005D4570">
        <w:rPr>
          <w:rFonts w:ascii="Arial" w:eastAsia="Times New Roman" w:hAnsi="Arial" w:cs="Arial"/>
          <w:szCs w:val="24"/>
          <w:lang w:eastAsia="pt-BR"/>
        </w:rPr>
        <w:t xml:space="preserve"> O art. 11 da Portaria nº 368, de </w:t>
      </w:r>
      <w:proofErr w:type="gramStart"/>
      <w:r w:rsidRPr="005D4570">
        <w:rPr>
          <w:rFonts w:ascii="Arial" w:eastAsia="Times New Roman" w:hAnsi="Arial" w:cs="Arial"/>
          <w:szCs w:val="24"/>
          <w:lang w:eastAsia="pt-BR"/>
        </w:rPr>
        <w:t>7</w:t>
      </w:r>
      <w:proofErr w:type="gramEnd"/>
      <w:r w:rsidRPr="005D4570">
        <w:rPr>
          <w:rFonts w:ascii="Arial" w:eastAsia="Times New Roman" w:hAnsi="Arial" w:cs="Arial"/>
          <w:szCs w:val="24"/>
          <w:lang w:eastAsia="pt-BR"/>
        </w:rPr>
        <w:t xml:space="preserve"> de junho de 2018, passa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5D4570">
        <w:rPr>
          <w:rFonts w:ascii="Arial" w:eastAsia="Times New Roman" w:hAnsi="Arial" w:cs="Arial"/>
          <w:szCs w:val="24"/>
          <w:lang w:eastAsia="pt-BR"/>
        </w:rPr>
        <w:t>a vigorar com a seguinte redação:</w:t>
      </w:r>
    </w:p>
    <w:p w:rsidR="005D4570" w:rsidRDefault="005D4570" w:rsidP="005D457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D4570">
        <w:rPr>
          <w:rFonts w:ascii="Arial" w:eastAsia="Times New Roman" w:hAnsi="Arial" w:cs="Arial"/>
          <w:szCs w:val="24"/>
          <w:lang w:eastAsia="pt-BR"/>
        </w:rPr>
        <w:t>"Art. 11 A contratação das propostas selecionadas será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5D4570">
        <w:rPr>
          <w:rFonts w:ascii="Arial" w:eastAsia="Times New Roman" w:hAnsi="Arial" w:cs="Arial"/>
          <w:szCs w:val="24"/>
          <w:lang w:eastAsia="pt-BR"/>
        </w:rPr>
        <w:t>realizada de acordo com a disponibilidade orçamentária e distribuída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5D4570">
        <w:rPr>
          <w:rFonts w:ascii="Arial" w:eastAsia="Times New Roman" w:hAnsi="Arial" w:cs="Arial"/>
          <w:szCs w:val="24"/>
          <w:lang w:eastAsia="pt-BR"/>
        </w:rPr>
        <w:t>entre as regiões geográficas do País, de acordo com a estimativa do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5D4570">
        <w:rPr>
          <w:rFonts w:ascii="Arial" w:eastAsia="Times New Roman" w:hAnsi="Arial" w:cs="Arial"/>
          <w:szCs w:val="24"/>
          <w:lang w:eastAsia="pt-BR"/>
        </w:rPr>
        <w:t>déficit habitacional rural, apurado pela Fundação João Pinheiro do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5D4570">
        <w:rPr>
          <w:rFonts w:ascii="Arial" w:eastAsia="Times New Roman" w:hAnsi="Arial" w:cs="Arial"/>
          <w:szCs w:val="24"/>
          <w:lang w:eastAsia="pt-BR"/>
        </w:rPr>
        <w:t>Governo do Estado de Minas Gerais, considerando os dados do IBGE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5D4570">
        <w:rPr>
          <w:rFonts w:ascii="Arial" w:eastAsia="Times New Roman" w:hAnsi="Arial" w:cs="Arial"/>
          <w:szCs w:val="24"/>
          <w:lang w:eastAsia="pt-BR"/>
        </w:rPr>
        <w:t>mais recentes, divulgados no sítio eletrônico do Ministério das Cidades,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5D4570">
        <w:rPr>
          <w:rFonts w:ascii="Arial" w:eastAsia="Times New Roman" w:hAnsi="Arial" w:cs="Arial"/>
          <w:szCs w:val="24"/>
          <w:lang w:eastAsia="pt-BR"/>
        </w:rPr>
        <w:t>conforme percentuais a seguir:".</w:t>
      </w:r>
    </w:p>
    <w:p w:rsidR="005D4570" w:rsidRDefault="005D4570" w:rsidP="005D457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tbl>
      <w:tblPr>
        <w:tblStyle w:val="Tabelacomgrade"/>
        <w:tblW w:w="0" w:type="auto"/>
        <w:tblInd w:w="2093" w:type="dxa"/>
        <w:tblLook w:val="04A0" w:firstRow="1" w:lastRow="0" w:firstColumn="1" w:lastColumn="0" w:noHBand="0" w:noVBand="1"/>
      </w:tblPr>
      <w:tblGrid>
        <w:gridCol w:w="2937"/>
        <w:gridCol w:w="2308"/>
      </w:tblGrid>
      <w:tr w:rsidR="005D4570" w:rsidRPr="005D4570" w:rsidTr="005D4570">
        <w:tc>
          <w:tcPr>
            <w:tcW w:w="2937" w:type="dxa"/>
          </w:tcPr>
          <w:p w:rsidR="005D4570" w:rsidRPr="005D4570" w:rsidRDefault="005D4570" w:rsidP="005D4570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5D4570">
              <w:rPr>
                <w:rFonts w:ascii="Arial" w:eastAsia="Times New Roman" w:hAnsi="Arial" w:cs="Arial"/>
                <w:b/>
                <w:szCs w:val="24"/>
                <w:lang w:eastAsia="pt-BR"/>
              </w:rPr>
              <w:t>Região Geográfica</w:t>
            </w:r>
          </w:p>
        </w:tc>
        <w:tc>
          <w:tcPr>
            <w:tcW w:w="2308" w:type="dxa"/>
          </w:tcPr>
          <w:p w:rsidR="005D4570" w:rsidRPr="005D4570" w:rsidRDefault="005D4570" w:rsidP="005D4570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5D4570">
              <w:rPr>
                <w:rFonts w:ascii="Arial" w:eastAsia="Times New Roman" w:hAnsi="Arial" w:cs="Arial"/>
                <w:b/>
                <w:szCs w:val="24"/>
                <w:lang w:eastAsia="pt-BR"/>
              </w:rPr>
              <w:t>Percentual</w:t>
            </w:r>
          </w:p>
        </w:tc>
      </w:tr>
      <w:tr w:rsidR="005D4570" w:rsidTr="005D4570">
        <w:tc>
          <w:tcPr>
            <w:tcW w:w="2937" w:type="dxa"/>
          </w:tcPr>
          <w:p w:rsidR="005D4570" w:rsidRDefault="005D4570" w:rsidP="005D4570">
            <w:pPr>
              <w:spacing w:before="40" w:after="40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D4570">
              <w:rPr>
                <w:rFonts w:ascii="Arial" w:eastAsia="Times New Roman" w:hAnsi="Arial" w:cs="Arial"/>
                <w:szCs w:val="24"/>
                <w:lang w:eastAsia="pt-BR"/>
              </w:rPr>
              <w:t>Norte</w:t>
            </w:r>
          </w:p>
        </w:tc>
        <w:tc>
          <w:tcPr>
            <w:tcW w:w="2308" w:type="dxa"/>
          </w:tcPr>
          <w:p w:rsidR="005D4570" w:rsidRDefault="005D4570" w:rsidP="005D4570">
            <w:pPr>
              <w:spacing w:before="40" w:after="40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D4570">
              <w:rPr>
                <w:rFonts w:ascii="Arial" w:eastAsia="Times New Roman" w:hAnsi="Arial" w:cs="Arial"/>
                <w:szCs w:val="24"/>
                <w:lang w:eastAsia="pt-BR"/>
              </w:rPr>
              <w:t>17,7%</w:t>
            </w:r>
          </w:p>
        </w:tc>
      </w:tr>
      <w:tr w:rsidR="005D4570" w:rsidTr="005D4570">
        <w:tc>
          <w:tcPr>
            <w:tcW w:w="2937" w:type="dxa"/>
          </w:tcPr>
          <w:p w:rsidR="005D4570" w:rsidRDefault="005D4570" w:rsidP="005D4570">
            <w:pPr>
              <w:spacing w:before="40" w:after="40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D4570">
              <w:rPr>
                <w:rFonts w:ascii="Arial" w:eastAsia="Times New Roman" w:hAnsi="Arial" w:cs="Arial"/>
                <w:szCs w:val="24"/>
                <w:lang w:eastAsia="pt-BR"/>
              </w:rPr>
              <w:t>Nordeste</w:t>
            </w:r>
          </w:p>
        </w:tc>
        <w:tc>
          <w:tcPr>
            <w:tcW w:w="2308" w:type="dxa"/>
          </w:tcPr>
          <w:p w:rsidR="005D4570" w:rsidRDefault="005D4570" w:rsidP="005D4570">
            <w:pPr>
              <w:spacing w:before="40" w:after="40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D4570">
              <w:rPr>
                <w:rFonts w:ascii="Arial" w:eastAsia="Times New Roman" w:hAnsi="Arial" w:cs="Arial"/>
                <w:szCs w:val="24"/>
                <w:lang w:eastAsia="pt-BR"/>
              </w:rPr>
              <w:t>67,9%</w:t>
            </w:r>
          </w:p>
        </w:tc>
      </w:tr>
      <w:tr w:rsidR="005D4570" w:rsidTr="005D4570">
        <w:tc>
          <w:tcPr>
            <w:tcW w:w="2937" w:type="dxa"/>
          </w:tcPr>
          <w:p w:rsidR="005D4570" w:rsidRDefault="005D4570" w:rsidP="005D4570">
            <w:pPr>
              <w:spacing w:before="40" w:after="40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D4570">
              <w:rPr>
                <w:rFonts w:ascii="Arial" w:eastAsia="Times New Roman" w:hAnsi="Arial" w:cs="Arial"/>
                <w:szCs w:val="24"/>
                <w:lang w:eastAsia="pt-BR"/>
              </w:rPr>
              <w:t>Sul</w:t>
            </w:r>
          </w:p>
        </w:tc>
        <w:tc>
          <w:tcPr>
            <w:tcW w:w="2308" w:type="dxa"/>
          </w:tcPr>
          <w:p w:rsidR="005D4570" w:rsidRDefault="005D4570" w:rsidP="005D4570">
            <w:pPr>
              <w:spacing w:before="40" w:after="40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D4570">
              <w:rPr>
                <w:rFonts w:ascii="Arial" w:eastAsia="Times New Roman" w:hAnsi="Arial" w:cs="Arial"/>
                <w:szCs w:val="24"/>
                <w:lang w:eastAsia="pt-BR"/>
              </w:rPr>
              <w:t>4,8%</w:t>
            </w:r>
          </w:p>
        </w:tc>
      </w:tr>
      <w:tr w:rsidR="005D4570" w:rsidTr="005D4570">
        <w:tc>
          <w:tcPr>
            <w:tcW w:w="2937" w:type="dxa"/>
          </w:tcPr>
          <w:p w:rsidR="005D4570" w:rsidRDefault="005D4570" w:rsidP="005D4570">
            <w:pPr>
              <w:spacing w:before="40" w:after="40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D4570">
              <w:rPr>
                <w:rFonts w:ascii="Arial" w:eastAsia="Times New Roman" w:hAnsi="Arial" w:cs="Arial"/>
                <w:szCs w:val="24"/>
                <w:lang w:eastAsia="pt-BR"/>
              </w:rPr>
              <w:t>Sudeste</w:t>
            </w:r>
          </w:p>
        </w:tc>
        <w:tc>
          <w:tcPr>
            <w:tcW w:w="2308" w:type="dxa"/>
          </w:tcPr>
          <w:p w:rsidR="005D4570" w:rsidRDefault="005D4570" w:rsidP="005D4570">
            <w:pPr>
              <w:spacing w:before="40" w:after="40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D4570">
              <w:rPr>
                <w:rFonts w:ascii="Arial" w:eastAsia="Times New Roman" w:hAnsi="Arial" w:cs="Arial"/>
                <w:szCs w:val="24"/>
                <w:lang w:eastAsia="pt-BR"/>
              </w:rPr>
              <w:t>6,6%</w:t>
            </w:r>
          </w:p>
        </w:tc>
      </w:tr>
      <w:tr w:rsidR="005D4570" w:rsidTr="005D4570">
        <w:tc>
          <w:tcPr>
            <w:tcW w:w="2937" w:type="dxa"/>
          </w:tcPr>
          <w:p w:rsidR="005D4570" w:rsidRDefault="005D4570" w:rsidP="005D4570">
            <w:pPr>
              <w:spacing w:before="40" w:after="40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D4570">
              <w:rPr>
                <w:rFonts w:ascii="Arial" w:eastAsia="Times New Roman" w:hAnsi="Arial" w:cs="Arial"/>
                <w:szCs w:val="24"/>
                <w:lang w:eastAsia="pt-BR"/>
              </w:rPr>
              <w:t>Centro-Oeste</w:t>
            </w:r>
          </w:p>
        </w:tc>
        <w:tc>
          <w:tcPr>
            <w:tcW w:w="2308" w:type="dxa"/>
          </w:tcPr>
          <w:p w:rsidR="005D4570" w:rsidRDefault="005D4570" w:rsidP="005D4570">
            <w:pPr>
              <w:spacing w:before="40" w:after="40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D4570">
              <w:rPr>
                <w:rFonts w:ascii="Arial" w:eastAsia="Times New Roman" w:hAnsi="Arial" w:cs="Arial"/>
                <w:szCs w:val="24"/>
                <w:lang w:eastAsia="pt-BR"/>
              </w:rPr>
              <w:t>3,0%</w:t>
            </w:r>
          </w:p>
        </w:tc>
      </w:tr>
      <w:tr w:rsidR="005D4570" w:rsidTr="005D4570">
        <w:tc>
          <w:tcPr>
            <w:tcW w:w="2937" w:type="dxa"/>
          </w:tcPr>
          <w:p w:rsidR="005D4570" w:rsidRDefault="005D4570" w:rsidP="005D4570">
            <w:pPr>
              <w:spacing w:before="40" w:after="40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D4570">
              <w:rPr>
                <w:rFonts w:ascii="Arial" w:eastAsia="Times New Roman" w:hAnsi="Arial" w:cs="Arial"/>
                <w:szCs w:val="24"/>
                <w:lang w:eastAsia="pt-BR"/>
              </w:rPr>
              <w:t>Total</w:t>
            </w:r>
          </w:p>
        </w:tc>
        <w:tc>
          <w:tcPr>
            <w:tcW w:w="2308" w:type="dxa"/>
          </w:tcPr>
          <w:p w:rsidR="005D4570" w:rsidRDefault="005D4570" w:rsidP="005D4570">
            <w:pPr>
              <w:spacing w:before="40" w:after="40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D4570">
              <w:rPr>
                <w:rFonts w:ascii="Arial" w:eastAsia="Times New Roman" w:hAnsi="Arial" w:cs="Arial"/>
                <w:szCs w:val="24"/>
                <w:lang w:eastAsia="pt-BR"/>
              </w:rPr>
              <w:t>100,0%</w:t>
            </w:r>
          </w:p>
        </w:tc>
      </w:tr>
    </w:tbl>
    <w:p w:rsidR="005D4570" w:rsidRPr="005D4570" w:rsidRDefault="005D4570" w:rsidP="005D457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5D4570" w:rsidRPr="005D4570" w:rsidRDefault="005D4570" w:rsidP="005D457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D4570">
        <w:rPr>
          <w:rFonts w:ascii="Arial" w:eastAsia="Times New Roman" w:hAnsi="Arial" w:cs="Arial"/>
          <w:b/>
          <w:szCs w:val="24"/>
          <w:lang w:eastAsia="pt-BR"/>
        </w:rPr>
        <w:t>Art. 3º</w:t>
      </w:r>
      <w:r w:rsidRPr="005D4570">
        <w:rPr>
          <w:rFonts w:ascii="Arial" w:eastAsia="Times New Roman" w:hAnsi="Arial" w:cs="Arial"/>
          <w:szCs w:val="24"/>
          <w:lang w:eastAsia="pt-BR"/>
        </w:rPr>
        <w:t xml:space="preserve"> As propostas apresentadas ou ratificadas aos Agentes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5D4570">
        <w:rPr>
          <w:rFonts w:ascii="Arial" w:eastAsia="Times New Roman" w:hAnsi="Arial" w:cs="Arial"/>
          <w:szCs w:val="24"/>
          <w:lang w:eastAsia="pt-BR"/>
        </w:rPr>
        <w:t>Financeiros a partir do dia 8 de junho de 2018 poderão participar do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5D4570">
        <w:rPr>
          <w:rFonts w:ascii="Arial" w:eastAsia="Times New Roman" w:hAnsi="Arial" w:cs="Arial"/>
          <w:szCs w:val="24"/>
          <w:lang w:eastAsia="pt-BR"/>
        </w:rPr>
        <w:t>processo seletivo.</w:t>
      </w:r>
    </w:p>
    <w:p w:rsidR="005D4570" w:rsidRDefault="005D4570" w:rsidP="005D457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5D4570" w:rsidRPr="005D4570" w:rsidRDefault="005D4570" w:rsidP="005D457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D4570">
        <w:rPr>
          <w:rFonts w:ascii="Arial" w:eastAsia="Times New Roman" w:hAnsi="Arial" w:cs="Arial"/>
          <w:b/>
          <w:szCs w:val="24"/>
          <w:lang w:eastAsia="pt-BR"/>
        </w:rPr>
        <w:t>Art. 4º</w:t>
      </w:r>
      <w:r w:rsidRPr="005D4570">
        <w:rPr>
          <w:rFonts w:ascii="Arial" w:eastAsia="Times New Roman" w:hAnsi="Arial" w:cs="Arial"/>
          <w:szCs w:val="24"/>
          <w:lang w:eastAsia="pt-BR"/>
        </w:rPr>
        <w:t xml:space="preserve"> Os Agentes Financeiros ficam autorizados a recepcionar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5D4570">
        <w:rPr>
          <w:rFonts w:ascii="Arial" w:eastAsia="Times New Roman" w:hAnsi="Arial" w:cs="Arial"/>
          <w:szCs w:val="24"/>
          <w:lang w:eastAsia="pt-BR"/>
        </w:rPr>
        <w:t xml:space="preserve">propostas até </w:t>
      </w:r>
      <w:proofErr w:type="gramStart"/>
      <w:r w:rsidRPr="005D4570">
        <w:rPr>
          <w:rFonts w:ascii="Arial" w:eastAsia="Times New Roman" w:hAnsi="Arial" w:cs="Arial"/>
          <w:szCs w:val="24"/>
          <w:lang w:eastAsia="pt-BR"/>
        </w:rPr>
        <w:t>5</w:t>
      </w:r>
      <w:proofErr w:type="gramEnd"/>
      <w:r w:rsidRPr="005D4570">
        <w:rPr>
          <w:rFonts w:ascii="Arial" w:eastAsia="Times New Roman" w:hAnsi="Arial" w:cs="Arial"/>
          <w:szCs w:val="24"/>
          <w:lang w:eastAsia="pt-BR"/>
        </w:rPr>
        <w:t xml:space="preserve"> dias úteis após a publicação desta Portaria.</w:t>
      </w:r>
    </w:p>
    <w:p w:rsidR="005D4570" w:rsidRDefault="005D4570" w:rsidP="005D457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5D4570" w:rsidRPr="005D4570" w:rsidRDefault="005D4570" w:rsidP="005D457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D4570">
        <w:rPr>
          <w:rFonts w:ascii="Arial" w:eastAsia="Times New Roman" w:hAnsi="Arial" w:cs="Arial"/>
          <w:b/>
          <w:szCs w:val="24"/>
          <w:lang w:eastAsia="pt-BR"/>
        </w:rPr>
        <w:t>Art. 5º</w:t>
      </w:r>
      <w:r w:rsidRPr="005D4570">
        <w:rPr>
          <w:rFonts w:ascii="Arial" w:eastAsia="Times New Roman" w:hAnsi="Arial" w:cs="Arial"/>
          <w:szCs w:val="24"/>
          <w:lang w:eastAsia="pt-BR"/>
        </w:rPr>
        <w:t xml:space="preserve"> Ficam revogados o parágrafo único do art. 11 e o art. 12</w:t>
      </w:r>
      <w:r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5D4570">
        <w:rPr>
          <w:rFonts w:ascii="Arial" w:eastAsia="Times New Roman" w:hAnsi="Arial" w:cs="Arial"/>
          <w:szCs w:val="24"/>
          <w:lang w:eastAsia="pt-BR"/>
        </w:rPr>
        <w:t xml:space="preserve">da Portaria nº 368, de </w:t>
      </w:r>
      <w:proofErr w:type="gramStart"/>
      <w:r w:rsidRPr="005D4570">
        <w:rPr>
          <w:rFonts w:ascii="Arial" w:eastAsia="Times New Roman" w:hAnsi="Arial" w:cs="Arial"/>
          <w:szCs w:val="24"/>
          <w:lang w:eastAsia="pt-BR"/>
        </w:rPr>
        <w:t>7</w:t>
      </w:r>
      <w:proofErr w:type="gramEnd"/>
      <w:r w:rsidRPr="005D4570">
        <w:rPr>
          <w:rFonts w:ascii="Arial" w:eastAsia="Times New Roman" w:hAnsi="Arial" w:cs="Arial"/>
          <w:szCs w:val="24"/>
          <w:lang w:eastAsia="pt-BR"/>
        </w:rPr>
        <w:t xml:space="preserve"> de junho de 2018.</w:t>
      </w:r>
    </w:p>
    <w:p w:rsidR="005D4570" w:rsidRDefault="005D4570" w:rsidP="005D457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5D4570" w:rsidRPr="005D4570" w:rsidRDefault="005D4570" w:rsidP="005D457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D4570">
        <w:rPr>
          <w:rFonts w:ascii="Arial" w:eastAsia="Times New Roman" w:hAnsi="Arial" w:cs="Arial"/>
          <w:b/>
          <w:szCs w:val="24"/>
          <w:lang w:eastAsia="pt-BR"/>
        </w:rPr>
        <w:t>Art. 6º</w:t>
      </w:r>
      <w:r w:rsidRPr="005D4570">
        <w:rPr>
          <w:rFonts w:ascii="Arial" w:eastAsia="Times New Roman" w:hAnsi="Arial" w:cs="Arial"/>
          <w:szCs w:val="24"/>
          <w:lang w:eastAsia="pt-BR"/>
        </w:rPr>
        <w:t xml:space="preserve"> Esta Portaria entra em vigor na data de sua publicação.</w:t>
      </w:r>
    </w:p>
    <w:p w:rsidR="005D4570" w:rsidRDefault="005D4570" w:rsidP="005D457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5D4570" w:rsidRPr="005D4570" w:rsidRDefault="005D4570" w:rsidP="005D457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5D4570">
        <w:rPr>
          <w:rFonts w:ascii="Arial" w:eastAsia="Times New Roman" w:hAnsi="Arial" w:cs="Arial"/>
          <w:szCs w:val="24"/>
          <w:lang w:eastAsia="pt-BR"/>
        </w:rPr>
        <w:t xml:space="preserve">ALEXANDRE </w:t>
      </w:r>
      <w:proofErr w:type="spellStart"/>
      <w:r w:rsidRPr="005D4570">
        <w:rPr>
          <w:rFonts w:ascii="Arial" w:eastAsia="Times New Roman" w:hAnsi="Arial" w:cs="Arial"/>
          <w:szCs w:val="24"/>
          <w:lang w:eastAsia="pt-BR"/>
        </w:rPr>
        <w:t>BALDY</w:t>
      </w:r>
      <w:proofErr w:type="spellEnd"/>
    </w:p>
    <w:p w:rsidR="00FE5AA2" w:rsidRPr="005D4570" w:rsidRDefault="00FE5AA2" w:rsidP="005D4570">
      <w:pPr>
        <w:jc w:val="both"/>
        <w:rPr>
          <w:rFonts w:ascii="Arial" w:hAnsi="Arial" w:cs="Arial"/>
          <w:szCs w:val="24"/>
        </w:rPr>
      </w:pPr>
    </w:p>
    <w:sectPr w:rsidR="00FE5AA2" w:rsidRPr="005D4570" w:rsidSect="005D45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70"/>
    <w:rsid w:val="005D4570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Regina Gasparin Ogliari</dc:creator>
  <cp:lastModifiedBy>Elizabeth Regina Gasparin Ogliari</cp:lastModifiedBy>
  <cp:revision>1</cp:revision>
  <dcterms:created xsi:type="dcterms:W3CDTF">2018-07-04T13:12:00Z</dcterms:created>
  <dcterms:modified xsi:type="dcterms:W3CDTF">2018-07-04T13:24:00Z</dcterms:modified>
</cp:coreProperties>
</file>