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9B5CB2">
        <w:rPr>
          <w:rFonts w:asciiTheme="minorHAnsi" w:hAnsiTheme="minorHAnsi" w:cstheme="minorHAnsi"/>
          <w:b/>
          <w:sz w:val="36"/>
          <w:szCs w:val="36"/>
          <w:u w:val="single"/>
        </w:rPr>
        <w:t>1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4D0799" w:rsidRPr="004042D6">
        <w:rPr>
          <w:rFonts w:asciiTheme="minorHAnsi" w:hAnsiTheme="minorHAnsi" w:cstheme="minorHAnsi"/>
          <w:sz w:val="26"/>
          <w:szCs w:val="26"/>
        </w:rPr>
        <w:t>18.958.461-0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4D0799" w:rsidRPr="004D0799">
        <w:rPr>
          <w:rFonts w:asciiTheme="minorHAnsi" w:hAnsiTheme="minorHAnsi" w:cstheme="minorHAnsi"/>
          <w:b w:val="0"/>
          <w:sz w:val="26"/>
          <w:szCs w:val="26"/>
        </w:rPr>
        <w:t xml:space="preserve">no Município de </w:t>
      </w:r>
      <w:r w:rsidR="004D0799" w:rsidRPr="004D0799">
        <w:rPr>
          <w:rFonts w:asciiTheme="minorHAnsi" w:hAnsiTheme="minorHAnsi" w:cstheme="minorHAnsi"/>
          <w:sz w:val="26"/>
          <w:szCs w:val="26"/>
          <w:highlight w:val="yellow"/>
        </w:rPr>
        <w:t>RIBEIRÃO CLARO</w:t>
      </w:r>
      <w:r w:rsidR="004D0799" w:rsidRPr="004D0799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 habitacional, </w:t>
      </w:r>
      <w:r w:rsidR="004D0799" w:rsidRPr="004D0799">
        <w:rPr>
          <w:rFonts w:asciiTheme="minorHAnsi" w:hAnsiTheme="minorHAnsi" w:cstheme="minorHAnsi"/>
          <w:bCs/>
          <w:sz w:val="26"/>
          <w:szCs w:val="26"/>
        </w:rPr>
        <w:t>totalizando 50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271C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4D0799">
              <w:rPr>
                <w:rFonts w:cstheme="minorHAnsi"/>
                <w:b/>
                <w:sz w:val="26"/>
                <w:szCs w:val="26"/>
              </w:rPr>
              <w:t>1</w:t>
            </w:r>
            <w:r w:rsidR="00271CFD">
              <w:rPr>
                <w:rFonts w:cstheme="minorHAnsi"/>
                <w:b/>
                <w:sz w:val="26"/>
                <w:szCs w:val="26"/>
              </w:rPr>
              <w:t>5</w:t>
            </w:r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271CFD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4D0799">
              <w:rPr>
                <w:rFonts w:cstheme="minorHAnsi"/>
                <w:b/>
                <w:sz w:val="26"/>
                <w:szCs w:val="26"/>
              </w:rPr>
              <w:t>1</w:t>
            </w:r>
            <w:r w:rsidR="00271CFD">
              <w:rPr>
                <w:rFonts w:cstheme="minorHAnsi"/>
                <w:b/>
                <w:sz w:val="26"/>
                <w:szCs w:val="26"/>
              </w:rPr>
              <w:t>5</w:t>
            </w:r>
            <w:r w:rsidR="00C059E2">
              <w:rPr>
                <w:rFonts w:cstheme="minorHAnsi"/>
                <w:b/>
                <w:sz w:val="26"/>
                <w:szCs w:val="26"/>
              </w:rPr>
              <w:t>/06/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4D0799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271CFD">
              <w:rPr>
                <w:rFonts w:cstheme="minorHAnsi"/>
                <w:b/>
                <w:sz w:val="26"/>
                <w:szCs w:val="26"/>
              </w:rPr>
              <w:t>15</w:t>
            </w:r>
            <w:bookmarkStart w:id="0" w:name="_GoBack"/>
            <w:bookmarkEnd w:id="0"/>
            <w:r w:rsidR="00C059E2">
              <w:rPr>
                <w:rFonts w:cstheme="minorHAnsi"/>
                <w:b/>
                <w:sz w:val="26"/>
                <w:szCs w:val="26"/>
              </w:rPr>
              <w:t>/06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75B56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B5CB2"/>
    <w:rsid w:val="009C5595"/>
    <w:rsid w:val="00A16C92"/>
    <w:rsid w:val="00A21650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F5EE-8384-4002-BCA5-A9DCDBD2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57</cp:revision>
  <cp:lastPrinted>2019-05-22T17:33:00Z</cp:lastPrinted>
  <dcterms:created xsi:type="dcterms:W3CDTF">2017-11-16T17:05:00Z</dcterms:created>
  <dcterms:modified xsi:type="dcterms:W3CDTF">2022-05-18T19:12:00Z</dcterms:modified>
</cp:coreProperties>
</file>