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6E561D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1E4904">
        <w:rPr>
          <w:rFonts w:asciiTheme="minorHAnsi" w:hAnsiTheme="minorHAnsi" w:cstheme="minorHAnsi"/>
          <w:b/>
          <w:sz w:val="36"/>
          <w:szCs w:val="36"/>
          <w:u w:val="single"/>
        </w:rPr>
        <w:t>8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1E4904" w:rsidRPr="001E4904">
        <w:rPr>
          <w:rFonts w:asciiTheme="minorHAnsi" w:hAnsiTheme="minorHAnsi" w:cstheme="minorHAnsi"/>
          <w:sz w:val="26"/>
          <w:szCs w:val="26"/>
        </w:rPr>
        <w:t>19.654.879-3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1E4904">
        <w:rPr>
          <w:rFonts w:asciiTheme="minorHAnsi" w:hAnsiTheme="minorHAnsi" w:cstheme="minorHAnsi"/>
          <w:sz w:val="27"/>
          <w:szCs w:val="27"/>
        </w:rPr>
        <w:t>JARDIM ALEGRE</w:t>
      </w:r>
      <w:bookmarkStart w:id="0" w:name="_GoBack"/>
      <w:bookmarkEnd w:id="0"/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>totalizando</w:t>
      </w:r>
      <w:r w:rsidR="008D70EF">
        <w:rPr>
          <w:rFonts w:asciiTheme="minorHAnsi" w:hAnsiTheme="minorHAnsi" w:cstheme="minorHAnsi"/>
          <w:bCs/>
          <w:sz w:val="27"/>
          <w:szCs w:val="27"/>
        </w:rPr>
        <w:t xml:space="preserve"> </w:t>
      </w:r>
      <w:r w:rsidR="001E4904">
        <w:rPr>
          <w:rFonts w:asciiTheme="minorHAnsi" w:hAnsiTheme="minorHAnsi" w:cstheme="minorHAnsi"/>
          <w:bCs/>
          <w:sz w:val="27"/>
          <w:szCs w:val="27"/>
        </w:rPr>
        <w:t>71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1E49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E4904">
              <w:rPr>
                <w:rFonts w:cstheme="minorHAnsi"/>
                <w:b/>
                <w:sz w:val="26"/>
                <w:szCs w:val="26"/>
              </w:rPr>
              <w:t>16/01/2023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8D70E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1E4904">
              <w:rPr>
                <w:rFonts w:cstheme="minorHAnsi"/>
                <w:b/>
                <w:sz w:val="26"/>
                <w:szCs w:val="26"/>
              </w:rPr>
              <w:t>16/01/2023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1E490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1E4904">
              <w:rPr>
                <w:rFonts w:cstheme="minorHAnsi"/>
                <w:b/>
                <w:sz w:val="26"/>
                <w:szCs w:val="26"/>
              </w:rPr>
              <w:t>16/01/2023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E490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E4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E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71DE-D05E-440E-BA8F-13EFADC5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211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75</cp:revision>
  <cp:lastPrinted>2022-09-05T13:26:00Z</cp:lastPrinted>
  <dcterms:created xsi:type="dcterms:W3CDTF">2017-11-16T17:05:00Z</dcterms:created>
  <dcterms:modified xsi:type="dcterms:W3CDTF">2022-11-21T16:43:00Z</dcterms:modified>
</cp:coreProperties>
</file>