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504214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4650F0" w:rsidRPr="004650F0">
        <w:rPr>
          <w:rFonts w:asciiTheme="minorHAnsi" w:hAnsiTheme="minorHAnsi" w:cstheme="minorHAnsi"/>
          <w:sz w:val="26"/>
          <w:szCs w:val="26"/>
        </w:rPr>
        <w:t>17.161.675-1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504214" w:rsidRPr="00504214" w:rsidRDefault="00963D92" w:rsidP="00504214">
      <w:pPr>
        <w:spacing w:before="60" w:after="60"/>
        <w:jc w:val="both"/>
        <w:rPr>
          <w:rFonts w:asciiTheme="minorHAnsi" w:hAnsiTheme="minorHAnsi" w:cstheme="minorHAnsi"/>
          <w:sz w:val="26"/>
          <w:szCs w:val="26"/>
        </w:rPr>
      </w:pPr>
      <w:r w:rsidRPr="00504214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504214" w:rsidRPr="00504214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134A/Lote 05, localizada no empreendimento C.H Colibri no município de </w:t>
      </w:r>
      <w:r w:rsidR="00504214" w:rsidRPr="00504214">
        <w:rPr>
          <w:rFonts w:asciiTheme="minorHAnsi" w:hAnsiTheme="minorHAnsi" w:cstheme="minorHAnsi"/>
          <w:b/>
          <w:sz w:val="26"/>
          <w:szCs w:val="26"/>
        </w:rPr>
        <w:t>ITAÚNA DO SUL-</w:t>
      </w:r>
      <w:proofErr w:type="gramStart"/>
      <w:r w:rsidR="00504214" w:rsidRPr="00504214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BE72D2" w:rsidRPr="00306483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06483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ME/EPP/COOPERATIVAS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504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bookmarkStart w:id="0" w:name="_GoBack"/>
            <w:bookmarkEnd w:id="0"/>
            <w:r w:rsidR="00504214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504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504214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504214" w:rsidRPr="00504214">
        <w:rPr>
          <w:rFonts w:asciiTheme="minorHAnsi" w:hAnsiTheme="minorHAnsi" w:cstheme="minorHAnsi"/>
          <w:sz w:val="26"/>
          <w:szCs w:val="26"/>
        </w:rPr>
        <w:t>74.942,22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650F0"/>
    <w:rsid w:val="004A796E"/>
    <w:rsid w:val="00504214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30D2-B0D3-441A-8C19-289D12E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56</cp:revision>
  <cp:lastPrinted>2021-05-26T17:52:00Z</cp:lastPrinted>
  <dcterms:created xsi:type="dcterms:W3CDTF">2020-03-24T19:26:00Z</dcterms:created>
  <dcterms:modified xsi:type="dcterms:W3CDTF">2022-11-04T18:54:00Z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