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90" w:rsidRPr="00CA7790" w:rsidRDefault="00CA7790" w:rsidP="00CA7790">
      <w:pPr>
        <w:spacing w:before="100" w:beforeAutospacing="1" w:after="100" w:afterAutospacing="1" w:line="240" w:lineRule="auto"/>
        <w:rPr>
          <w:rFonts w:ascii="Arial Narrow" w:eastAsia="Times New Roman" w:hAnsi="Arial Narrow" w:cs="Times New Roman"/>
          <w:b/>
          <w:bCs/>
          <w:sz w:val="24"/>
          <w:szCs w:val="24"/>
          <w:lang w:eastAsia="pt-BR"/>
        </w:rPr>
      </w:pPr>
      <w:r w:rsidRPr="00F477E8">
        <w:rPr>
          <w:rFonts w:ascii="Arial Narrow" w:eastAsia="Times New Roman" w:hAnsi="Arial Narrow" w:cs="Times New Roman"/>
          <w:b/>
          <w:bCs/>
          <w:sz w:val="24"/>
          <w:szCs w:val="24"/>
          <w:lang w:eastAsia="pt-BR"/>
        </w:rPr>
        <w:t xml:space="preserve">PROJETO DE LEI ORDINÁRIA </w:t>
      </w:r>
      <w:r w:rsidRPr="00F477E8">
        <w:rPr>
          <w:rFonts w:ascii="Arial Narrow" w:eastAsia="Times New Roman" w:hAnsi="Arial Narrow" w:cs="Times New Roman"/>
          <w:b/>
          <w:bCs/>
          <w:sz w:val="24"/>
          <w:szCs w:val="24"/>
          <w:highlight w:val="yellow"/>
          <w:lang w:eastAsia="pt-BR"/>
        </w:rPr>
        <w:t>Nº 000</w:t>
      </w:r>
      <w:r w:rsidRPr="00CA7790">
        <w:rPr>
          <w:rFonts w:ascii="Arial Narrow" w:eastAsia="Times New Roman" w:hAnsi="Arial Narrow" w:cs="Times New Roman"/>
          <w:b/>
          <w:bCs/>
          <w:sz w:val="24"/>
          <w:szCs w:val="24"/>
          <w:highlight w:val="yellow"/>
          <w:lang w:eastAsia="pt-BR"/>
        </w:rPr>
        <w:t>/202</w:t>
      </w:r>
      <w:r w:rsidRPr="00F477E8">
        <w:rPr>
          <w:rFonts w:ascii="Arial Narrow" w:eastAsia="Times New Roman" w:hAnsi="Arial Narrow" w:cs="Times New Roman"/>
          <w:b/>
          <w:bCs/>
          <w:sz w:val="24"/>
          <w:szCs w:val="24"/>
          <w:highlight w:val="yellow"/>
          <w:lang w:eastAsia="pt-BR"/>
        </w:rPr>
        <w:t>4</w:t>
      </w:r>
    </w:p>
    <w:p w:rsidR="00CA7790" w:rsidRPr="00CA7790" w:rsidRDefault="00CA7790" w:rsidP="00CA7790">
      <w:pPr>
        <w:spacing w:after="240" w:line="240" w:lineRule="auto"/>
        <w:ind w:left="3544" w:firstLine="703"/>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t>INSTITUI O PROG</w:t>
      </w:r>
      <w:r w:rsidRPr="00F477E8">
        <w:rPr>
          <w:rFonts w:ascii="Arial Narrow" w:eastAsia="Times New Roman" w:hAnsi="Arial Narrow" w:cs="Times New Roman"/>
          <w:sz w:val="24"/>
          <w:szCs w:val="24"/>
          <w:lang w:eastAsia="pt-BR"/>
        </w:rPr>
        <w:t xml:space="preserve">RAMA DE REGULARIZAÇÃO </w:t>
      </w:r>
      <w:r w:rsidRPr="00CA7790">
        <w:rPr>
          <w:rFonts w:ascii="Arial Narrow" w:eastAsia="Times New Roman" w:hAnsi="Arial Narrow" w:cs="Times New Roman"/>
          <w:sz w:val="24"/>
          <w:szCs w:val="24"/>
          <w:lang w:eastAsia="pt-BR"/>
        </w:rPr>
        <w:t>FUNDIÁRIA URBANA – REURB- NO MUNICÍPIO DE</w:t>
      </w:r>
      <w:r w:rsidRPr="00F477E8">
        <w:rPr>
          <w:rFonts w:ascii="Arial Narrow" w:eastAsia="Times New Roman" w:hAnsi="Arial Narrow" w:cs="Times New Roman"/>
          <w:sz w:val="24"/>
          <w:szCs w:val="24"/>
          <w:highlight w:val="yellow"/>
          <w:lang w:eastAsia="pt-BR"/>
        </w:rPr>
        <w:t>______________</w:t>
      </w:r>
      <w:r w:rsidRPr="00CA7790">
        <w:rPr>
          <w:rFonts w:ascii="Arial Narrow" w:eastAsia="Times New Roman" w:hAnsi="Arial Narrow" w:cs="Times New Roman"/>
          <w:sz w:val="24"/>
          <w:szCs w:val="24"/>
          <w:highlight w:val="yellow"/>
          <w:lang w:eastAsia="pt-BR"/>
        </w:rPr>
        <w:t xml:space="preserve"> </w:t>
      </w:r>
      <w:r w:rsidRPr="00F477E8">
        <w:rPr>
          <w:rFonts w:ascii="Arial Narrow" w:eastAsia="Times New Roman" w:hAnsi="Arial Narrow" w:cs="Times New Roman"/>
          <w:sz w:val="24"/>
          <w:szCs w:val="24"/>
          <w:highlight w:val="yellow"/>
          <w:lang w:eastAsia="pt-BR"/>
        </w:rPr>
        <w:t>- PR</w:t>
      </w:r>
      <w:r w:rsidRPr="00CA7790">
        <w:rPr>
          <w:rFonts w:ascii="Arial Narrow" w:eastAsia="Times New Roman" w:hAnsi="Arial Narrow" w:cs="Times New Roman"/>
          <w:sz w:val="24"/>
          <w:szCs w:val="24"/>
          <w:lang w:eastAsia="pt-BR"/>
        </w:rPr>
        <w:t>, E DÁ OUTRAS PROVIDÊNCIAS. </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t> </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 xml:space="preserve">INSTITUI O PROGRAMA DE REGULARIZAÇÃO FUNDIÁRIA URBANA – REURB- NO MUNICÍPIO </w:t>
      </w:r>
      <w:r w:rsidRPr="00F477E8">
        <w:rPr>
          <w:rFonts w:ascii="Arial Narrow" w:eastAsia="Times New Roman" w:hAnsi="Arial Narrow" w:cs="Times New Roman"/>
          <w:b/>
          <w:bCs/>
          <w:sz w:val="24"/>
          <w:szCs w:val="24"/>
          <w:highlight w:val="yellow"/>
          <w:lang w:eastAsia="pt-BR"/>
        </w:rPr>
        <w:t xml:space="preserve">____________ </w:t>
      </w:r>
      <w:proofErr w:type="gramStart"/>
      <w:r w:rsidRPr="00F477E8">
        <w:rPr>
          <w:rFonts w:ascii="Arial Narrow" w:eastAsia="Times New Roman" w:hAnsi="Arial Narrow" w:cs="Times New Roman"/>
          <w:b/>
          <w:bCs/>
          <w:sz w:val="24"/>
          <w:szCs w:val="24"/>
          <w:highlight w:val="yellow"/>
          <w:lang w:eastAsia="pt-BR"/>
        </w:rPr>
        <w:t>-PR</w:t>
      </w:r>
      <w:proofErr w:type="gramEnd"/>
      <w:r w:rsidRPr="00F477E8">
        <w:rPr>
          <w:rFonts w:ascii="Arial Narrow" w:eastAsia="Times New Roman" w:hAnsi="Arial Narrow" w:cs="Times New Roman"/>
          <w:b/>
          <w:bCs/>
          <w:sz w:val="24"/>
          <w:szCs w:val="24"/>
          <w:lang w:eastAsia="pt-BR"/>
        </w:rPr>
        <w:t>, E DÁ OUTRAS PROVIDÊNCIAS.</w:t>
      </w:r>
      <w:r w:rsidRPr="00CA7790">
        <w:rPr>
          <w:rFonts w:ascii="Arial Narrow" w:eastAsia="Times New Roman" w:hAnsi="Arial Narrow" w:cs="Times New Roman"/>
          <w:sz w:val="24"/>
          <w:szCs w:val="24"/>
          <w:lang w:eastAsia="pt-BR"/>
        </w:rPr>
        <w:br/>
        <w:t> </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1º. </w:t>
      </w:r>
      <w:r w:rsidRPr="00CA7790">
        <w:rPr>
          <w:rFonts w:ascii="Arial Narrow" w:eastAsia="Times New Roman" w:hAnsi="Arial Narrow" w:cs="Times New Roman"/>
          <w:sz w:val="24"/>
          <w:szCs w:val="24"/>
          <w:lang w:eastAsia="pt-BR"/>
        </w:rPr>
        <w:t xml:space="preserve">Ficam instituídas no município </w:t>
      </w:r>
      <w:r w:rsidRPr="00F477E8">
        <w:rPr>
          <w:rFonts w:ascii="Arial Narrow" w:eastAsia="Times New Roman" w:hAnsi="Arial Narrow" w:cs="Times New Roman"/>
          <w:sz w:val="24"/>
          <w:szCs w:val="24"/>
          <w:highlight w:val="yellow"/>
          <w:lang w:eastAsia="pt-BR"/>
        </w:rPr>
        <w:t>___________________- PR</w:t>
      </w:r>
      <w:r w:rsidRPr="00CA7790">
        <w:rPr>
          <w:rFonts w:ascii="Arial Narrow" w:eastAsia="Times New Roman" w:hAnsi="Arial Narrow" w:cs="Times New Roman"/>
          <w:sz w:val="24"/>
          <w:szCs w:val="24"/>
          <w:lang w:eastAsia="pt-BR"/>
        </w:rPr>
        <w:t>, normas gerais e procedimentos aplicáveis à Regularização Fundiária Urbana - REURB, a qual abrange medidas jurídicas, urbanísticas, ambientais e sociais destinadas à incorporação dos núcleos urbanos informais ao ordenamento territorial urbano e à titulação de seus ocupantes, nos termos da Lei Federal nº 13.465 de 11 de Julho de 2017 e suas regulamentações.</w:t>
      </w:r>
    </w:p>
    <w:p w:rsidR="000C21B8" w:rsidRPr="00F477E8" w:rsidRDefault="000C21B8" w:rsidP="00CA7790">
      <w:pPr>
        <w:spacing w:after="0" w:line="240" w:lineRule="auto"/>
        <w:jc w:val="both"/>
        <w:rPr>
          <w:rFonts w:ascii="Arial Narrow" w:eastAsia="Times New Roman" w:hAnsi="Arial Narrow" w:cs="Times New Roman"/>
          <w:sz w:val="24"/>
          <w:szCs w:val="24"/>
          <w:lang w:eastAsia="pt-BR"/>
        </w:rPr>
      </w:pP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 2º. </w:t>
      </w:r>
      <w:r w:rsidRPr="00CA7790">
        <w:rPr>
          <w:rFonts w:ascii="Arial Narrow" w:eastAsia="Times New Roman" w:hAnsi="Arial Narrow" w:cs="Times New Roman"/>
          <w:sz w:val="24"/>
          <w:szCs w:val="24"/>
          <w:lang w:eastAsia="pt-BR"/>
        </w:rPr>
        <w:t>O Poder Executivo municipal poderá formular e desenvolver no espaço urbano local, as políticas de suas competências de acordo com os princípios de sustentabilidade econômica, social e ambiental e ordenação territorial, buscando a ocupação do solo de maneira eficiente, combinando seu uso de forma funcional.</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1º. </w:t>
      </w:r>
      <w:r w:rsidRPr="00CA7790">
        <w:rPr>
          <w:rFonts w:ascii="Arial Narrow" w:eastAsia="Times New Roman" w:hAnsi="Arial Narrow" w:cs="Times New Roman"/>
          <w:sz w:val="24"/>
          <w:szCs w:val="24"/>
          <w:lang w:eastAsia="pt-BR"/>
        </w:rPr>
        <w:t>A REURB promovida mediante legitimação fundiária somente poderá ser aplicada para os núcleos urbanos informais comprovadamente existentes, na forma desta Lei, até 22 de dezembro de 2016.</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2º. </w:t>
      </w:r>
      <w:r w:rsidRPr="00CA7790">
        <w:rPr>
          <w:rFonts w:ascii="Arial Narrow" w:eastAsia="Times New Roman" w:hAnsi="Arial Narrow" w:cs="Times New Roman"/>
          <w:sz w:val="24"/>
          <w:szCs w:val="24"/>
          <w:lang w:eastAsia="pt-BR"/>
        </w:rPr>
        <w:t>Os processos de regularização fundiária de que trata a Lei Federal nº 13.465 de 11 de julho de 2017, poderão ser processados nos seguintes termos:</w:t>
      </w:r>
      <w:r w:rsidRPr="00F477E8">
        <w:rPr>
          <w:rFonts w:ascii="Arial Narrow" w:eastAsia="Times New Roman" w:hAnsi="Arial Narrow" w:cs="Times New Roman"/>
          <w:sz w:val="24"/>
          <w:szCs w:val="24"/>
          <w:lang w:eastAsia="pt-BR"/>
        </w:rPr>
        <w:t xml:space="preserve"> </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xml:space="preserve"> Para a elaboração do projeto de regularização fundiária, será utilizado preferencialmente o método de </w:t>
      </w:r>
      <w:proofErr w:type="spellStart"/>
      <w:r w:rsidRPr="00CA7790">
        <w:rPr>
          <w:rFonts w:ascii="Arial Narrow" w:eastAsia="Times New Roman" w:hAnsi="Arial Narrow" w:cs="Times New Roman"/>
          <w:sz w:val="24"/>
          <w:szCs w:val="24"/>
          <w:lang w:eastAsia="pt-BR"/>
        </w:rPr>
        <w:t>georreferenciamento</w:t>
      </w:r>
      <w:proofErr w:type="spellEnd"/>
      <w:r w:rsidRPr="00CA7790">
        <w:rPr>
          <w:rFonts w:ascii="Arial Narrow" w:eastAsia="Times New Roman" w:hAnsi="Arial Narrow" w:cs="Times New Roman"/>
          <w:sz w:val="24"/>
          <w:szCs w:val="24"/>
          <w:lang w:eastAsia="pt-BR"/>
        </w:rPr>
        <w:t>, ou planta em que se registrem os vértices definidores de limites, com o uso de métodos e tecnologias que estiverem à disposição e que se adequarem melhor às necessidades, segundo a economicidade e a eficiência em sua utilização, que evitem a propagação de erros, assinados por um profissional habilitado na área, conforme disposto no artigo 28, VI, do </w:t>
      </w:r>
      <w:hyperlink r:id="rId5" w:history="1">
        <w:r w:rsidRPr="00F477E8">
          <w:rPr>
            <w:rFonts w:ascii="Arial Narrow" w:eastAsia="Times New Roman" w:hAnsi="Arial Narrow" w:cs="Times New Roman"/>
            <w:color w:val="0000FF"/>
            <w:sz w:val="24"/>
            <w:szCs w:val="24"/>
            <w:u w:val="single"/>
            <w:lang w:eastAsia="pt-BR"/>
          </w:rPr>
          <w:t>D</w:t>
        </w:r>
      </w:hyperlink>
      <w:hyperlink r:id="rId6" w:history="1">
        <w:r w:rsidRPr="00F477E8">
          <w:rPr>
            <w:rFonts w:ascii="Arial Narrow" w:eastAsia="Times New Roman" w:hAnsi="Arial Narrow" w:cs="Times New Roman"/>
            <w:color w:val="0000FF"/>
            <w:sz w:val="24"/>
            <w:szCs w:val="24"/>
            <w:u w:val="single"/>
            <w:lang w:eastAsia="pt-BR"/>
          </w:rPr>
          <w:t>ecreto n</w:t>
        </w:r>
      </w:hyperlink>
      <w:r w:rsidRPr="00CA7790">
        <w:rPr>
          <w:rFonts w:ascii="Arial Narrow" w:eastAsia="Times New Roman" w:hAnsi="Arial Narrow" w:cs="Times New Roman"/>
          <w:sz w:val="24"/>
          <w:szCs w:val="24"/>
          <w:lang w:eastAsia="pt-BR"/>
        </w:rPr>
        <w:t> </w:t>
      </w:r>
      <w:hyperlink r:id="rId7" w:history="1">
        <w:r w:rsidRPr="00F477E8">
          <w:rPr>
            <w:rFonts w:ascii="Arial Narrow" w:eastAsia="Times New Roman" w:hAnsi="Arial Narrow" w:cs="Times New Roman"/>
            <w:color w:val="0000FF"/>
            <w:sz w:val="24"/>
            <w:szCs w:val="24"/>
            <w:u w:val="single"/>
            <w:lang w:eastAsia="pt-BR"/>
          </w:rPr>
          <w:t>º 9.310, </w:t>
        </w:r>
      </w:hyperlink>
      <w:hyperlink r:id="rId8" w:history="1">
        <w:r w:rsidRPr="00F477E8">
          <w:rPr>
            <w:rFonts w:ascii="Arial Narrow" w:eastAsia="Times New Roman" w:hAnsi="Arial Narrow" w:cs="Times New Roman"/>
            <w:color w:val="0000FF"/>
            <w:sz w:val="24"/>
            <w:szCs w:val="24"/>
            <w:u w:val="single"/>
            <w:lang w:eastAsia="pt-BR"/>
          </w:rPr>
          <w:t>de </w:t>
        </w:r>
      </w:hyperlink>
      <w:hyperlink r:id="rId9" w:history="1">
        <w:r w:rsidRPr="00F477E8">
          <w:rPr>
            <w:rFonts w:ascii="Arial Narrow" w:eastAsia="Times New Roman" w:hAnsi="Arial Narrow" w:cs="Times New Roman"/>
            <w:color w:val="0000FF"/>
            <w:sz w:val="24"/>
            <w:szCs w:val="24"/>
            <w:u w:val="single"/>
            <w:lang w:eastAsia="pt-BR"/>
          </w:rPr>
          <w:t>15 </w:t>
        </w:r>
      </w:hyperlink>
      <w:hyperlink r:id="rId10" w:history="1">
        <w:r w:rsidRPr="00F477E8">
          <w:rPr>
            <w:rFonts w:ascii="Arial Narrow" w:eastAsia="Times New Roman" w:hAnsi="Arial Narrow" w:cs="Times New Roman"/>
            <w:color w:val="0000FF"/>
            <w:sz w:val="24"/>
            <w:szCs w:val="24"/>
            <w:u w:val="single"/>
            <w:lang w:eastAsia="pt-BR"/>
          </w:rPr>
          <w:t>de março de </w:t>
        </w:r>
      </w:hyperlink>
      <w:hyperlink r:id="rId11" w:history="1">
        <w:r w:rsidRPr="00F477E8">
          <w:rPr>
            <w:rFonts w:ascii="Arial Narrow" w:eastAsia="Times New Roman" w:hAnsi="Arial Narrow" w:cs="Times New Roman"/>
            <w:color w:val="0000FF"/>
            <w:sz w:val="24"/>
            <w:szCs w:val="24"/>
            <w:u w:val="single"/>
            <w:lang w:eastAsia="pt-BR"/>
          </w:rPr>
          <w:t>2018</w:t>
        </w:r>
      </w:hyperlink>
      <w:r w:rsidRPr="00CA7790">
        <w:rPr>
          <w:rFonts w:ascii="Arial Narrow" w:eastAsia="Times New Roman" w:hAnsi="Arial Narrow" w:cs="Times New Roman"/>
          <w:sz w:val="24"/>
          <w:szCs w:val="24"/>
          <w:lang w:eastAsia="pt-BR"/>
        </w:rPr>
        <w:t>, que regulamenta a Lei Federal nº 13.465 de 11 de julho de 2017.</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t> </w:t>
      </w:r>
      <w:r w:rsidRPr="00F477E8">
        <w:rPr>
          <w:rFonts w:ascii="Arial Narrow" w:eastAsia="Times New Roman" w:hAnsi="Arial Narrow" w:cs="Times New Roman"/>
          <w:b/>
          <w:bCs/>
          <w:sz w:val="24"/>
          <w:szCs w:val="24"/>
          <w:lang w:eastAsia="pt-BR"/>
        </w:rPr>
        <w:t>§ 3º.</w:t>
      </w:r>
      <w:r w:rsidRPr="00CA7790">
        <w:rPr>
          <w:rFonts w:ascii="Arial Narrow" w:eastAsia="Times New Roman" w:hAnsi="Arial Narrow" w:cs="Times New Roman"/>
          <w:sz w:val="24"/>
          <w:szCs w:val="24"/>
          <w:lang w:eastAsia="pt-BR"/>
        </w:rPr>
        <w:t> Os projetos poderão ser formulados de forma individual, por lotes, ou coletivamente, por quadra ou conjunto de quadras.</w:t>
      </w:r>
    </w:p>
    <w:p w:rsidR="00CA7790" w:rsidRPr="00F477E8" w:rsidRDefault="00CA7790" w:rsidP="00CA7790">
      <w:pPr>
        <w:spacing w:after="0" w:line="240" w:lineRule="auto"/>
        <w:jc w:val="both"/>
        <w:rPr>
          <w:rFonts w:ascii="Arial Narrow" w:eastAsia="Times New Roman" w:hAnsi="Arial Narrow" w:cs="Times New Roman"/>
          <w:b/>
          <w:bCs/>
          <w:sz w:val="24"/>
          <w:szCs w:val="24"/>
          <w:lang w:eastAsia="pt-BR"/>
        </w:rPr>
      </w:pP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Art.3º. </w:t>
      </w:r>
      <w:r w:rsidRPr="00CA7790">
        <w:rPr>
          <w:rFonts w:ascii="Arial Narrow" w:eastAsia="Times New Roman" w:hAnsi="Arial Narrow" w:cs="Times New Roman"/>
          <w:sz w:val="24"/>
          <w:szCs w:val="24"/>
          <w:lang w:eastAsia="pt-BR"/>
        </w:rPr>
        <w:t>A REURB compreende duas modalidades:</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REURB de Interesse Social (REURB-S) - regularização fundiária aplicável aos núcleos urbanos informais ocupados predominantemente por população de baixa renda, assim classificados e declarados pelo Poder Executivo municipal;</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w:t>
      </w:r>
      <w:r w:rsidRPr="00CA7790">
        <w:rPr>
          <w:rFonts w:ascii="Arial Narrow" w:eastAsia="Times New Roman" w:hAnsi="Arial Narrow" w:cs="Times New Roman"/>
          <w:sz w:val="24"/>
          <w:szCs w:val="24"/>
          <w:lang w:eastAsia="pt-BR"/>
        </w:rPr>
        <w:t>– REURB de Interesse Específico (REURB-E) - regularização fundiária aplicável aos núcleos urbanos informais ocupados por população não qualificada na hipótese de que trata o inciso I deste artigo.</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1º.</w:t>
      </w:r>
      <w:r w:rsidRPr="00CA7790">
        <w:rPr>
          <w:rFonts w:ascii="Arial Narrow" w:eastAsia="Times New Roman" w:hAnsi="Arial Narrow" w:cs="Times New Roman"/>
          <w:sz w:val="24"/>
          <w:szCs w:val="24"/>
          <w:lang w:eastAsia="pt-BR"/>
        </w:rPr>
        <w:t> Na REURB, o município poderá admitir o uso misto de atividades como forma de promover a integração social e a geração de emprego e renda no núcleo urbano informal na regularização coexistindo as duas modalidades em um mesmo projeto classificando os beneficiários como REURB-S ou REURB-E de acordo com sua renda e informando na lista de beneficiários a modalidade de cada um.</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2º. </w:t>
      </w:r>
      <w:r w:rsidRPr="00CA7790">
        <w:rPr>
          <w:rFonts w:ascii="Arial Narrow" w:eastAsia="Times New Roman" w:hAnsi="Arial Narrow" w:cs="Times New Roman"/>
          <w:sz w:val="24"/>
          <w:szCs w:val="24"/>
          <w:lang w:eastAsia="pt-BR"/>
        </w:rPr>
        <w:t>A classificação do interesse visa exclusivamente à identificação dos responsáveis pela implantação ou adequação das obras de infraestrutura essencial e ao reconhecimento do direito à gratuidade das custas e emolumentos notariais e registrais em favor daqueles a quem for atribuído o domínio das unidades imobiliárias regularizadas.</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lastRenderedPageBreak/>
        <w:t>§ 3º. </w:t>
      </w:r>
      <w:r w:rsidRPr="00CA7790">
        <w:rPr>
          <w:rFonts w:ascii="Arial Narrow" w:eastAsia="Times New Roman" w:hAnsi="Arial Narrow" w:cs="Times New Roman"/>
          <w:sz w:val="24"/>
          <w:szCs w:val="24"/>
          <w:lang w:eastAsia="pt-BR"/>
        </w:rPr>
        <w:t>A partir da disponibilidade de equipamentos e infraestrutura para prestação de serviço público de abastecimento de água, coleta de esgoto, distribuição de energia elétrica, ou outros serviços públicos, é obrigatório aos beneficiários da REURB realizar a conexão da edificação à rede de água, de coleta de esgoto ou de distribuição de energia elétrica e adotar as demais providências necessárias à utilização do serviço, salvo disposição em contrário na legislação municipal.</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 4º. </w:t>
      </w:r>
      <w:r w:rsidRPr="00CA7790">
        <w:rPr>
          <w:rFonts w:ascii="Arial Narrow" w:eastAsia="Times New Roman" w:hAnsi="Arial Narrow" w:cs="Times New Roman"/>
          <w:sz w:val="24"/>
          <w:szCs w:val="24"/>
          <w:lang w:eastAsia="pt-BR"/>
        </w:rPr>
        <w:t>Para a classificação da REURB na modalidade REURB-S, a composição ou a faixa da renda familiar para definição de população de baixa renda não poderá ser superior ao quíntuplo do salário mínimo vigente no País, nos termos do parágrafo único do artigo 6º do Decreto n</w:t>
      </w:r>
      <w:hyperlink r:id="rId12" w:history="1">
        <w:r w:rsidRPr="00F477E8">
          <w:rPr>
            <w:rFonts w:ascii="Arial Narrow" w:eastAsia="Times New Roman" w:hAnsi="Arial Narrow" w:cs="Times New Roman"/>
            <w:color w:val="0000FF"/>
            <w:sz w:val="24"/>
            <w:szCs w:val="24"/>
            <w:u w:val="single"/>
            <w:lang w:eastAsia="pt-BR"/>
          </w:rPr>
          <w:t>º 9.310, </w:t>
        </w:r>
      </w:hyperlink>
      <w:hyperlink r:id="rId13" w:history="1">
        <w:r w:rsidRPr="00F477E8">
          <w:rPr>
            <w:rFonts w:ascii="Arial Narrow" w:eastAsia="Times New Roman" w:hAnsi="Arial Narrow" w:cs="Times New Roman"/>
            <w:color w:val="0000FF"/>
            <w:sz w:val="24"/>
            <w:szCs w:val="24"/>
            <w:u w:val="single"/>
            <w:lang w:eastAsia="pt-BR"/>
          </w:rPr>
          <w:t>de </w:t>
        </w:r>
      </w:hyperlink>
      <w:hyperlink r:id="rId14" w:history="1">
        <w:r w:rsidRPr="00F477E8">
          <w:rPr>
            <w:rFonts w:ascii="Arial Narrow" w:eastAsia="Times New Roman" w:hAnsi="Arial Narrow" w:cs="Times New Roman"/>
            <w:color w:val="0000FF"/>
            <w:sz w:val="24"/>
            <w:szCs w:val="24"/>
            <w:u w:val="single"/>
            <w:lang w:eastAsia="pt-BR"/>
          </w:rPr>
          <w:t>15 </w:t>
        </w:r>
      </w:hyperlink>
      <w:hyperlink r:id="rId15" w:history="1">
        <w:r w:rsidRPr="00F477E8">
          <w:rPr>
            <w:rFonts w:ascii="Arial Narrow" w:eastAsia="Times New Roman" w:hAnsi="Arial Narrow" w:cs="Times New Roman"/>
            <w:color w:val="0000FF"/>
            <w:sz w:val="24"/>
            <w:szCs w:val="24"/>
            <w:u w:val="single"/>
            <w:lang w:eastAsia="pt-BR"/>
          </w:rPr>
          <w:t>de março de </w:t>
        </w:r>
      </w:hyperlink>
      <w:hyperlink r:id="rId16" w:history="1">
        <w:r w:rsidRPr="00F477E8">
          <w:rPr>
            <w:rFonts w:ascii="Arial Narrow" w:eastAsia="Times New Roman" w:hAnsi="Arial Narrow" w:cs="Times New Roman"/>
            <w:color w:val="0000FF"/>
            <w:sz w:val="24"/>
            <w:szCs w:val="24"/>
            <w:u w:val="single"/>
            <w:lang w:eastAsia="pt-BR"/>
          </w:rPr>
          <w:t>2018</w:t>
        </w:r>
      </w:hyperlink>
      <w:r w:rsidRPr="00CA7790">
        <w:rPr>
          <w:rFonts w:ascii="Arial Narrow" w:eastAsia="Times New Roman" w:hAnsi="Arial Narrow" w:cs="Times New Roman"/>
          <w:sz w:val="24"/>
          <w:szCs w:val="24"/>
          <w:lang w:eastAsia="pt-BR"/>
        </w:rPr>
        <w:t>, que regulamenta a Lei Federal nº 13.465 de 11 de julho de 2017.</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5º. </w:t>
      </w:r>
      <w:r w:rsidRPr="00CA7790">
        <w:rPr>
          <w:rFonts w:ascii="Arial Narrow" w:eastAsia="Times New Roman" w:hAnsi="Arial Narrow" w:cs="Times New Roman"/>
          <w:sz w:val="24"/>
          <w:szCs w:val="24"/>
          <w:lang w:eastAsia="pt-BR"/>
        </w:rPr>
        <w:t>Na REURB, poderão ser utilizados mais de um dos instrumentos previstos no art. 8º do Decreto n</w:t>
      </w:r>
      <w:hyperlink r:id="rId17" w:history="1">
        <w:r w:rsidRPr="00F477E8">
          <w:rPr>
            <w:rFonts w:ascii="Arial Narrow" w:eastAsia="Times New Roman" w:hAnsi="Arial Narrow" w:cs="Times New Roman"/>
            <w:color w:val="0000FF"/>
            <w:sz w:val="24"/>
            <w:szCs w:val="24"/>
            <w:u w:val="single"/>
            <w:lang w:eastAsia="pt-BR"/>
          </w:rPr>
          <w:t>º</w:t>
        </w:r>
      </w:hyperlink>
      <w:r w:rsidRPr="00CA7790">
        <w:rPr>
          <w:rFonts w:ascii="Arial Narrow" w:eastAsia="Times New Roman" w:hAnsi="Arial Narrow" w:cs="Times New Roman"/>
          <w:sz w:val="24"/>
          <w:szCs w:val="24"/>
          <w:lang w:eastAsia="pt-BR"/>
        </w:rPr>
        <w:t> </w:t>
      </w:r>
      <w:hyperlink r:id="rId18" w:history="1">
        <w:proofErr w:type="gramStart"/>
        <w:r w:rsidRPr="00F477E8">
          <w:rPr>
            <w:rFonts w:ascii="Arial Narrow" w:eastAsia="Times New Roman" w:hAnsi="Arial Narrow" w:cs="Times New Roman"/>
            <w:color w:val="0000FF"/>
            <w:sz w:val="24"/>
            <w:szCs w:val="24"/>
            <w:u w:val="single"/>
            <w:lang w:eastAsia="pt-BR"/>
          </w:rPr>
          <w:t>9.310,</w:t>
        </w:r>
        <w:proofErr w:type="gramEnd"/>
      </w:hyperlink>
      <w:r w:rsidRPr="00CA7790">
        <w:rPr>
          <w:rFonts w:ascii="Arial Narrow" w:eastAsia="Times New Roman" w:hAnsi="Arial Narrow" w:cs="Times New Roman"/>
          <w:sz w:val="24"/>
          <w:szCs w:val="24"/>
          <w:lang w:eastAsia="pt-BR"/>
        </w:rPr>
        <w:t> </w:t>
      </w:r>
      <w:hyperlink r:id="rId19" w:history="1">
        <w:r w:rsidRPr="00F477E8">
          <w:rPr>
            <w:rFonts w:ascii="Arial Narrow" w:eastAsia="Times New Roman" w:hAnsi="Arial Narrow" w:cs="Times New Roman"/>
            <w:color w:val="0000FF"/>
            <w:sz w:val="24"/>
            <w:szCs w:val="24"/>
            <w:u w:val="single"/>
            <w:lang w:eastAsia="pt-BR"/>
          </w:rPr>
          <w:t>de </w:t>
        </w:r>
      </w:hyperlink>
      <w:hyperlink r:id="rId20" w:history="1">
        <w:r w:rsidRPr="00F477E8">
          <w:rPr>
            <w:rFonts w:ascii="Arial Narrow" w:eastAsia="Times New Roman" w:hAnsi="Arial Narrow" w:cs="Times New Roman"/>
            <w:color w:val="0000FF"/>
            <w:sz w:val="24"/>
            <w:szCs w:val="24"/>
            <w:u w:val="single"/>
            <w:lang w:eastAsia="pt-BR"/>
          </w:rPr>
          <w:t>15</w:t>
        </w:r>
      </w:hyperlink>
      <w:r w:rsidRPr="00CA7790">
        <w:rPr>
          <w:rFonts w:ascii="Arial Narrow" w:eastAsia="Times New Roman" w:hAnsi="Arial Narrow" w:cs="Times New Roman"/>
          <w:sz w:val="24"/>
          <w:szCs w:val="24"/>
          <w:lang w:eastAsia="pt-BR"/>
        </w:rPr>
        <w:t> </w:t>
      </w:r>
      <w:hyperlink r:id="rId21" w:history="1">
        <w:r w:rsidRPr="00F477E8">
          <w:rPr>
            <w:rFonts w:ascii="Arial Narrow" w:eastAsia="Times New Roman" w:hAnsi="Arial Narrow" w:cs="Times New Roman"/>
            <w:color w:val="0000FF"/>
            <w:sz w:val="24"/>
            <w:szCs w:val="24"/>
            <w:u w:val="single"/>
            <w:lang w:eastAsia="pt-BR"/>
          </w:rPr>
          <w:t>de março de </w:t>
        </w:r>
      </w:hyperlink>
      <w:hyperlink r:id="rId22" w:history="1">
        <w:r w:rsidRPr="00F477E8">
          <w:rPr>
            <w:rFonts w:ascii="Arial Narrow" w:eastAsia="Times New Roman" w:hAnsi="Arial Narrow" w:cs="Times New Roman"/>
            <w:color w:val="0000FF"/>
            <w:sz w:val="24"/>
            <w:szCs w:val="24"/>
            <w:u w:val="single"/>
            <w:lang w:eastAsia="pt-BR"/>
          </w:rPr>
          <w:t>2018</w:t>
        </w:r>
      </w:hyperlink>
      <w:r w:rsidRPr="00CA7790">
        <w:rPr>
          <w:rFonts w:ascii="Arial Narrow" w:eastAsia="Times New Roman" w:hAnsi="Arial Narrow" w:cs="Times New Roman"/>
          <w:sz w:val="24"/>
          <w:szCs w:val="24"/>
          <w:lang w:eastAsia="pt-BR"/>
        </w:rPr>
        <w:t>, que regulamenta a Lei Federal nº 13.465 de 11 de julho de 2017.</w:t>
      </w:r>
    </w:p>
    <w:p w:rsidR="000C21B8" w:rsidRPr="00F477E8" w:rsidRDefault="000C21B8" w:rsidP="00CA7790">
      <w:pPr>
        <w:spacing w:after="0" w:line="240" w:lineRule="auto"/>
        <w:jc w:val="both"/>
        <w:rPr>
          <w:rFonts w:ascii="Arial Narrow" w:eastAsia="Times New Roman" w:hAnsi="Arial Narrow" w:cs="Times New Roman"/>
          <w:sz w:val="24"/>
          <w:szCs w:val="24"/>
          <w:lang w:eastAsia="pt-BR"/>
        </w:rPr>
      </w:pP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Art.4º.</w:t>
      </w:r>
      <w:r w:rsidRPr="00CA7790">
        <w:rPr>
          <w:rFonts w:ascii="Arial Narrow" w:eastAsia="Times New Roman" w:hAnsi="Arial Narrow" w:cs="Times New Roman"/>
          <w:sz w:val="24"/>
          <w:szCs w:val="24"/>
          <w:lang w:eastAsia="pt-BR"/>
        </w:rPr>
        <w:t> São legitimados a requerer a REURB:</w:t>
      </w:r>
    </w:p>
    <w:p w:rsidR="00CA7790"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a União, o Estado, e o Município, diretamente ou por meio de entidades da administração pública indireta;</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 </w:t>
      </w:r>
      <w:r w:rsidRPr="00CA7790">
        <w:rPr>
          <w:rFonts w:ascii="Arial Narrow" w:eastAsia="Times New Roman" w:hAnsi="Arial Narrow" w:cs="Times New Roman"/>
          <w:sz w:val="24"/>
          <w:szCs w:val="24"/>
          <w:lang w:eastAsia="pt-BR"/>
        </w:rPr>
        <w:t>- os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III </w:t>
      </w:r>
      <w:r w:rsidRPr="00CA7790">
        <w:rPr>
          <w:rFonts w:ascii="Arial Narrow" w:eastAsia="Times New Roman" w:hAnsi="Arial Narrow" w:cs="Times New Roman"/>
          <w:sz w:val="24"/>
          <w:szCs w:val="24"/>
          <w:lang w:eastAsia="pt-BR"/>
        </w:rPr>
        <w:t>- os proprietários de imóveis ou de terrenos, loteadores ou incorporadores;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IV </w:t>
      </w:r>
      <w:r w:rsidRPr="00CA7790">
        <w:rPr>
          <w:rFonts w:ascii="Arial Narrow" w:eastAsia="Times New Roman" w:hAnsi="Arial Narrow" w:cs="Times New Roman"/>
          <w:sz w:val="24"/>
          <w:szCs w:val="24"/>
          <w:lang w:eastAsia="pt-BR"/>
        </w:rPr>
        <w:t>- a Defensoria Pública, em nome dos beneficiários hipossuficientes;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 </w:t>
      </w:r>
      <w:r w:rsidRPr="00CA7790">
        <w:rPr>
          <w:rFonts w:ascii="Arial Narrow" w:eastAsia="Times New Roman" w:hAnsi="Arial Narrow" w:cs="Times New Roman"/>
          <w:sz w:val="24"/>
          <w:szCs w:val="24"/>
          <w:lang w:eastAsia="pt-BR"/>
        </w:rPr>
        <w:t>- o Ministério Público.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1º. </w:t>
      </w:r>
      <w:r w:rsidRPr="00CA7790">
        <w:rPr>
          <w:rFonts w:ascii="Arial Narrow" w:eastAsia="Times New Roman" w:hAnsi="Arial Narrow" w:cs="Times New Roman"/>
          <w:sz w:val="24"/>
          <w:szCs w:val="24"/>
          <w:lang w:eastAsia="pt-BR"/>
        </w:rPr>
        <w:t>Os legitimados poderão promover todos os atos necessários à regularização fundiária, inclusive requerer os atos de registro.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2º. </w:t>
      </w:r>
      <w:r w:rsidRPr="00CA7790">
        <w:rPr>
          <w:rFonts w:ascii="Arial Narrow" w:eastAsia="Times New Roman" w:hAnsi="Arial Narrow" w:cs="Times New Roman"/>
          <w:sz w:val="24"/>
          <w:szCs w:val="24"/>
          <w:lang w:eastAsia="pt-BR"/>
        </w:rPr>
        <w:t>Nos casos de parcelamento do solo, de conjunto habitacional ou de condomínio informal, empreendidos por particular, a conclusão da REURB confere direito de regresso àqueles que suportarem os seus custos e obrigações contra os responsáveis pela implantação dos núcleos urbanos informais.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3º. </w:t>
      </w:r>
      <w:r w:rsidRPr="00CA7790">
        <w:rPr>
          <w:rFonts w:ascii="Arial Narrow" w:eastAsia="Times New Roman" w:hAnsi="Arial Narrow" w:cs="Times New Roman"/>
          <w:sz w:val="24"/>
          <w:szCs w:val="24"/>
          <w:lang w:eastAsia="pt-BR"/>
        </w:rPr>
        <w:t>O requerimento de instauração da REURB por proprietários de terreno, loteadores e incorporadores que tenham dado causa à formação de núcleos urbanos informais, ou os seus sucessores, não os eximirá de responsabilidades administrativa, civil ou criminal.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4º. </w:t>
      </w:r>
      <w:r w:rsidRPr="00CA7790">
        <w:rPr>
          <w:rFonts w:ascii="Arial Narrow" w:eastAsia="Times New Roman" w:hAnsi="Arial Narrow" w:cs="Times New Roman"/>
          <w:sz w:val="24"/>
          <w:szCs w:val="24"/>
          <w:lang w:eastAsia="pt-BR"/>
        </w:rPr>
        <w:t>Os documentos que deverão acompanhar o requerimento, a comprovação de posse, renda, documentos pessoais, mapas, memoriais descritivos assinados e atos notariais, são de responsabilidade dos requerentes.</w:t>
      </w:r>
    </w:p>
    <w:p w:rsidR="00F477E8" w:rsidRPr="00F477E8" w:rsidRDefault="00F477E8" w:rsidP="00CA7790">
      <w:pPr>
        <w:spacing w:after="0" w:line="240" w:lineRule="auto"/>
        <w:jc w:val="both"/>
        <w:rPr>
          <w:rFonts w:ascii="Arial Narrow" w:eastAsia="Times New Roman" w:hAnsi="Arial Narrow" w:cs="Times New Roman"/>
          <w:sz w:val="24"/>
          <w:szCs w:val="24"/>
          <w:lang w:eastAsia="pt-BR"/>
        </w:rPr>
      </w:pP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 5º.</w:t>
      </w:r>
      <w:r w:rsidRPr="00CA7790">
        <w:rPr>
          <w:rFonts w:ascii="Arial Narrow" w:eastAsia="Times New Roman" w:hAnsi="Arial Narrow" w:cs="Times New Roman"/>
          <w:sz w:val="24"/>
          <w:szCs w:val="24"/>
          <w:lang w:eastAsia="pt-BR"/>
        </w:rPr>
        <w:t> Compõe o projeto da REURB:</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xml:space="preserve"> A planta com </w:t>
      </w:r>
      <w:proofErr w:type="spellStart"/>
      <w:r w:rsidRPr="00CA7790">
        <w:rPr>
          <w:rFonts w:ascii="Arial Narrow" w:eastAsia="Times New Roman" w:hAnsi="Arial Narrow" w:cs="Times New Roman"/>
          <w:sz w:val="24"/>
          <w:szCs w:val="24"/>
          <w:lang w:eastAsia="pt-BR"/>
        </w:rPr>
        <w:t>georreferenciamento</w:t>
      </w:r>
      <w:proofErr w:type="spellEnd"/>
      <w:r w:rsidRPr="00CA7790">
        <w:rPr>
          <w:rFonts w:ascii="Arial Narrow" w:eastAsia="Times New Roman" w:hAnsi="Arial Narrow" w:cs="Times New Roman"/>
          <w:sz w:val="24"/>
          <w:szCs w:val="24"/>
          <w:lang w:eastAsia="pt-BR"/>
        </w:rPr>
        <w:t xml:space="preserve"> e o memorial descritivo do núcleo urbano a ser regularizado, que deverão ser assinados por profissional legalmente habilitado, dispensada a apresentação de Anotação de Responsabilidade Técnica (ART) no Conselho Regional de Engenharia e Agronomia (</w:t>
      </w:r>
      <w:proofErr w:type="gramStart"/>
      <w:r w:rsidRPr="00CA7790">
        <w:rPr>
          <w:rFonts w:ascii="Arial Narrow" w:eastAsia="Times New Roman" w:hAnsi="Arial Narrow" w:cs="Times New Roman"/>
          <w:sz w:val="24"/>
          <w:szCs w:val="24"/>
          <w:lang w:eastAsia="pt-BR"/>
        </w:rPr>
        <w:t>Crea</w:t>
      </w:r>
      <w:proofErr w:type="gramEnd"/>
      <w:r w:rsidRPr="00CA7790">
        <w:rPr>
          <w:rFonts w:ascii="Arial Narrow" w:eastAsia="Times New Roman" w:hAnsi="Arial Narrow" w:cs="Times New Roman"/>
          <w:sz w:val="24"/>
          <w:szCs w:val="24"/>
          <w:lang w:eastAsia="pt-BR"/>
        </w:rPr>
        <w:t>) ou de Registro de Responsabilidade Técnica (RRT) no Conselho de Arquitetura e Urbanismo (CAU), quando o responsável técnico for servidor ou empregado público conforme parágrafo único 5º do artigo 36 da Lei Federal nº 13.465 de 11 de julho 2017;</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 </w:t>
      </w:r>
      <w:r w:rsidRPr="00CA7790">
        <w:rPr>
          <w:rFonts w:ascii="Arial Narrow" w:eastAsia="Times New Roman" w:hAnsi="Arial Narrow" w:cs="Times New Roman"/>
          <w:sz w:val="24"/>
          <w:szCs w:val="24"/>
          <w:lang w:eastAsia="pt-BR"/>
        </w:rPr>
        <w:t>- planta do perímetro do núcleo urbano informal com demonstração das matrículas ou transcrições atingidas, quando for possível;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III </w:t>
      </w:r>
      <w:r w:rsidRPr="00CA7790">
        <w:rPr>
          <w:rFonts w:ascii="Arial Narrow" w:eastAsia="Times New Roman" w:hAnsi="Arial Narrow" w:cs="Times New Roman"/>
          <w:sz w:val="24"/>
          <w:szCs w:val="24"/>
          <w:lang w:eastAsia="pt-BR"/>
        </w:rPr>
        <w:t>- estudo preliminar das desconformidades e da situação jurídica, urbanística e ambiental;</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IV </w:t>
      </w:r>
      <w:r w:rsidRPr="00CA7790">
        <w:rPr>
          <w:rFonts w:ascii="Arial Narrow" w:eastAsia="Times New Roman" w:hAnsi="Arial Narrow" w:cs="Times New Roman"/>
          <w:sz w:val="24"/>
          <w:szCs w:val="24"/>
          <w:lang w:eastAsia="pt-BR"/>
        </w:rPr>
        <w:t>- projeto urbanístico;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 </w:t>
      </w:r>
      <w:r w:rsidRPr="00CA7790">
        <w:rPr>
          <w:rFonts w:ascii="Arial Narrow" w:eastAsia="Times New Roman" w:hAnsi="Arial Narrow" w:cs="Times New Roman"/>
          <w:sz w:val="24"/>
          <w:szCs w:val="24"/>
          <w:lang w:eastAsia="pt-BR"/>
        </w:rPr>
        <w:t>- memoriais descritivos individualizados dos imóveis a serem regularizados;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 </w:t>
      </w:r>
      <w:r w:rsidRPr="00CA7790">
        <w:rPr>
          <w:rFonts w:ascii="Arial Narrow" w:eastAsia="Times New Roman" w:hAnsi="Arial Narrow" w:cs="Times New Roman"/>
          <w:sz w:val="24"/>
          <w:szCs w:val="24"/>
          <w:lang w:eastAsia="pt-BR"/>
        </w:rPr>
        <w:t>- proposta de soluções para questões ambientais, urbanísticas e de reassentamento dos ocupantes, quando for o caso;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VII </w:t>
      </w:r>
      <w:r w:rsidRPr="00CA7790">
        <w:rPr>
          <w:rFonts w:ascii="Arial Narrow" w:eastAsia="Times New Roman" w:hAnsi="Arial Narrow" w:cs="Times New Roman"/>
          <w:sz w:val="24"/>
          <w:szCs w:val="24"/>
          <w:lang w:eastAsia="pt-BR"/>
        </w:rPr>
        <w:t>- estudo técnico para situação de risco, quando for o caso;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lastRenderedPageBreak/>
        <w:t>VIII </w:t>
      </w:r>
      <w:r w:rsidRPr="00CA7790">
        <w:rPr>
          <w:rFonts w:ascii="Arial Narrow" w:eastAsia="Times New Roman" w:hAnsi="Arial Narrow" w:cs="Times New Roman"/>
          <w:sz w:val="24"/>
          <w:szCs w:val="24"/>
          <w:lang w:eastAsia="pt-BR"/>
        </w:rPr>
        <w:t>- estudo técnico ambiental, para os fins previstos nesta Lei, quando for o caso;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IX </w:t>
      </w:r>
      <w:r w:rsidRPr="00CA7790">
        <w:rPr>
          <w:rFonts w:ascii="Arial Narrow" w:eastAsia="Times New Roman" w:hAnsi="Arial Narrow" w:cs="Times New Roman"/>
          <w:sz w:val="24"/>
          <w:szCs w:val="24"/>
          <w:lang w:eastAsia="pt-BR"/>
        </w:rPr>
        <w:t>- cronograma físico de serviços e implantação de obras de infraestrutura essencial, compensações urbanísticas, ambientais e outras, definidas por ocasião da aprovação do projeto de regularização fundiária, quando houver;</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X </w:t>
      </w:r>
      <w:r w:rsidRPr="00CA7790">
        <w:rPr>
          <w:rFonts w:ascii="Arial Narrow" w:eastAsia="Times New Roman" w:hAnsi="Arial Narrow" w:cs="Times New Roman"/>
          <w:sz w:val="24"/>
          <w:szCs w:val="24"/>
          <w:lang w:eastAsia="pt-BR"/>
        </w:rPr>
        <w:t>- termo de compromisso a ser assinado pelos responsáveis, públicos ou privados, pelo cumprimento do cronograma físico definido no inciso IX deste artigo, ou por obras a serem feitas, se houver;</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XI</w:t>
      </w:r>
      <w:r w:rsidRPr="00CA7790">
        <w:rPr>
          <w:rFonts w:ascii="Arial Narrow" w:eastAsia="Times New Roman" w:hAnsi="Arial Narrow" w:cs="Times New Roman"/>
          <w:sz w:val="24"/>
          <w:szCs w:val="24"/>
          <w:lang w:eastAsia="pt-BR"/>
        </w:rPr>
        <w:t xml:space="preserve"> - Na REURB-E o município </w:t>
      </w:r>
      <w:proofErr w:type="gramStart"/>
      <w:r w:rsidRPr="00CA7790">
        <w:rPr>
          <w:rFonts w:ascii="Arial Narrow" w:eastAsia="Times New Roman" w:hAnsi="Arial Narrow" w:cs="Times New Roman"/>
          <w:sz w:val="24"/>
          <w:szCs w:val="24"/>
          <w:lang w:eastAsia="pt-BR"/>
        </w:rPr>
        <w:t>poderá fixar</w:t>
      </w:r>
      <w:proofErr w:type="gramEnd"/>
      <w:r w:rsidRPr="00CA7790">
        <w:rPr>
          <w:rFonts w:ascii="Arial Narrow" w:eastAsia="Times New Roman" w:hAnsi="Arial Narrow" w:cs="Times New Roman"/>
          <w:sz w:val="24"/>
          <w:szCs w:val="24"/>
          <w:lang w:eastAsia="pt-BR"/>
        </w:rPr>
        <w:t xml:space="preserve"> taxas por meio de decreto a serem cobradas pelos serviços prestados e necessários a aprovação do projeto de regularização fundiária e emissão Certidão de Regularização Fundiária (CRF).</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XII</w:t>
      </w:r>
      <w:r w:rsidRPr="00CA7790">
        <w:rPr>
          <w:rFonts w:ascii="Arial Narrow" w:eastAsia="Times New Roman" w:hAnsi="Arial Narrow" w:cs="Times New Roman"/>
          <w:sz w:val="24"/>
          <w:szCs w:val="24"/>
          <w:lang w:eastAsia="pt-BR"/>
        </w:rPr>
        <w:t> - Na regularização de núcleo urbano informal que já possua a infraestrutura essencial implantada e para o qual não haja compensações urbanísticas ou ambientais ou outras obras e serviços a serem executados, fica dispensada a apresentação do cronograma físico e do termo de compromisso previstos nos incisos IX e X do caput.</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XIII</w:t>
      </w:r>
      <w:r w:rsidRPr="00CA7790">
        <w:rPr>
          <w:rFonts w:ascii="Arial Narrow" w:eastAsia="Times New Roman" w:hAnsi="Arial Narrow" w:cs="Times New Roman"/>
          <w:sz w:val="24"/>
          <w:szCs w:val="24"/>
          <w:lang w:eastAsia="pt-BR"/>
        </w:rPr>
        <w:t> - Na Certidão de Regularização Fundiária – CRF</w:t>
      </w:r>
      <w:r w:rsidR="00F477E8" w:rsidRPr="00CA7790">
        <w:rPr>
          <w:rFonts w:ascii="Arial Narrow" w:eastAsia="Times New Roman" w:hAnsi="Arial Narrow" w:cs="Times New Roman"/>
          <w:sz w:val="24"/>
          <w:szCs w:val="24"/>
          <w:lang w:eastAsia="pt-BR"/>
        </w:rPr>
        <w:t xml:space="preserve"> será</w:t>
      </w:r>
      <w:r w:rsidRPr="00CA7790">
        <w:rPr>
          <w:rFonts w:ascii="Arial Narrow" w:eastAsia="Times New Roman" w:hAnsi="Arial Narrow" w:cs="Times New Roman"/>
          <w:sz w:val="24"/>
          <w:szCs w:val="24"/>
          <w:lang w:eastAsia="pt-BR"/>
        </w:rPr>
        <w:t xml:space="preserve"> discriminado, que o núcleo urbano regularizado já possui a infraestrutura essencial definida no § 1º do art. 31 do </w:t>
      </w:r>
      <w:hyperlink r:id="rId23" w:history="1">
        <w:r w:rsidRPr="00F477E8">
          <w:rPr>
            <w:rFonts w:ascii="Arial Narrow" w:eastAsia="Times New Roman" w:hAnsi="Arial Narrow" w:cs="Times New Roman"/>
            <w:color w:val="0000FF"/>
            <w:sz w:val="24"/>
            <w:szCs w:val="24"/>
            <w:u w:val="single"/>
            <w:lang w:eastAsia="pt-BR"/>
          </w:rPr>
          <w:t>D</w:t>
        </w:r>
      </w:hyperlink>
      <w:hyperlink r:id="rId24" w:history="1">
        <w:r w:rsidRPr="00F477E8">
          <w:rPr>
            <w:rFonts w:ascii="Arial Narrow" w:eastAsia="Times New Roman" w:hAnsi="Arial Narrow" w:cs="Times New Roman"/>
            <w:color w:val="0000FF"/>
            <w:sz w:val="24"/>
            <w:szCs w:val="24"/>
            <w:u w:val="single"/>
            <w:lang w:eastAsia="pt-BR"/>
          </w:rPr>
          <w:t>ecreto n</w:t>
        </w:r>
      </w:hyperlink>
      <w:r w:rsidRPr="00CA7790">
        <w:rPr>
          <w:rFonts w:ascii="Arial Narrow" w:eastAsia="Times New Roman" w:hAnsi="Arial Narrow" w:cs="Times New Roman"/>
          <w:sz w:val="24"/>
          <w:szCs w:val="24"/>
          <w:lang w:eastAsia="pt-BR"/>
        </w:rPr>
        <w:t> </w:t>
      </w:r>
      <w:hyperlink r:id="rId25" w:history="1">
        <w:r w:rsidRPr="00F477E8">
          <w:rPr>
            <w:rFonts w:ascii="Arial Narrow" w:eastAsia="Times New Roman" w:hAnsi="Arial Narrow" w:cs="Times New Roman"/>
            <w:color w:val="0000FF"/>
            <w:sz w:val="24"/>
            <w:szCs w:val="24"/>
            <w:u w:val="single"/>
            <w:lang w:eastAsia="pt-BR"/>
          </w:rPr>
          <w:t xml:space="preserve">º </w:t>
        </w:r>
        <w:proofErr w:type="gramStart"/>
        <w:r w:rsidRPr="00F477E8">
          <w:rPr>
            <w:rFonts w:ascii="Arial Narrow" w:eastAsia="Times New Roman" w:hAnsi="Arial Narrow" w:cs="Times New Roman"/>
            <w:color w:val="0000FF"/>
            <w:sz w:val="24"/>
            <w:szCs w:val="24"/>
            <w:u w:val="single"/>
            <w:lang w:eastAsia="pt-BR"/>
          </w:rPr>
          <w:t>9.310,</w:t>
        </w:r>
        <w:proofErr w:type="gramEnd"/>
      </w:hyperlink>
      <w:r w:rsidRPr="00CA7790">
        <w:rPr>
          <w:rFonts w:ascii="Arial Narrow" w:eastAsia="Times New Roman" w:hAnsi="Arial Narrow" w:cs="Times New Roman"/>
          <w:sz w:val="24"/>
          <w:szCs w:val="24"/>
          <w:lang w:eastAsia="pt-BR"/>
        </w:rPr>
        <w:t> </w:t>
      </w:r>
      <w:hyperlink r:id="rId26" w:history="1">
        <w:r w:rsidRPr="00F477E8">
          <w:rPr>
            <w:rFonts w:ascii="Arial Narrow" w:eastAsia="Times New Roman" w:hAnsi="Arial Narrow" w:cs="Times New Roman"/>
            <w:color w:val="0000FF"/>
            <w:sz w:val="24"/>
            <w:szCs w:val="24"/>
            <w:u w:val="single"/>
            <w:lang w:eastAsia="pt-BR"/>
          </w:rPr>
          <w:t>de </w:t>
        </w:r>
      </w:hyperlink>
      <w:hyperlink r:id="rId27" w:history="1">
        <w:r w:rsidRPr="00F477E8">
          <w:rPr>
            <w:rFonts w:ascii="Arial Narrow" w:eastAsia="Times New Roman" w:hAnsi="Arial Narrow" w:cs="Times New Roman"/>
            <w:color w:val="0000FF"/>
            <w:sz w:val="24"/>
            <w:szCs w:val="24"/>
            <w:u w:val="single"/>
            <w:lang w:eastAsia="pt-BR"/>
          </w:rPr>
          <w:t>15 </w:t>
        </w:r>
      </w:hyperlink>
      <w:hyperlink r:id="rId28" w:history="1">
        <w:r w:rsidRPr="00F477E8">
          <w:rPr>
            <w:rFonts w:ascii="Arial Narrow" w:eastAsia="Times New Roman" w:hAnsi="Arial Narrow" w:cs="Times New Roman"/>
            <w:color w:val="0000FF"/>
            <w:sz w:val="24"/>
            <w:szCs w:val="24"/>
            <w:u w:val="single"/>
            <w:lang w:eastAsia="pt-BR"/>
          </w:rPr>
          <w:t>de março de </w:t>
        </w:r>
      </w:hyperlink>
      <w:hyperlink r:id="rId29" w:history="1">
        <w:r w:rsidRPr="00F477E8">
          <w:rPr>
            <w:rFonts w:ascii="Arial Narrow" w:eastAsia="Times New Roman" w:hAnsi="Arial Narrow" w:cs="Times New Roman"/>
            <w:color w:val="0000FF"/>
            <w:sz w:val="24"/>
            <w:szCs w:val="24"/>
            <w:u w:val="single"/>
            <w:lang w:eastAsia="pt-BR"/>
          </w:rPr>
          <w:t>2018</w:t>
        </w:r>
      </w:hyperlink>
      <w:r w:rsidRPr="00CA7790">
        <w:rPr>
          <w:rFonts w:ascii="Arial Narrow" w:eastAsia="Times New Roman" w:hAnsi="Arial Narrow" w:cs="Times New Roman"/>
          <w:sz w:val="24"/>
          <w:szCs w:val="24"/>
          <w:lang w:eastAsia="pt-BR"/>
        </w:rPr>
        <w:t> que regulamenta a Lei Federal nº 13.465 de 11 de julho de 2017 e que não existem compensações urbanísticas ou ambientais ou outras obras e serviços a serem executados, quando for o caso.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XIV </w:t>
      </w:r>
      <w:r w:rsidRPr="00CA7790">
        <w:rPr>
          <w:rFonts w:ascii="Arial Narrow" w:eastAsia="Times New Roman" w:hAnsi="Arial Narrow" w:cs="Times New Roman"/>
          <w:sz w:val="24"/>
          <w:szCs w:val="24"/>
          <w:lang w:eastAsia="pt-BR"/>
        </w:rPr>
        <w:t>- Para fins da regularização prevista o estudo técnico ambiental considerará ao longo dos rios ou de qualquer curso d’água, faixa não edificável com largura mínima de quinze metros de cada lado conforme § 7º, do artigo 4º</w:t>
      </w:r>
      <w:proofErr w:type="gramStart"/>
      <w:r w:rsidRPr="00CA7790">
        <w:rPr>
          <w:rFonts w:ascii="Arial Narrow" w:eastAsia="Times New Roman" w:hAnsi="Arial Narrow" w:cs="Times New Roman"/>
          <w:sz w:val="24"/>
          <w:szCs w:val="24"/>
          <w:lang w:eastAsia="pt-BR"/>
        </w:rPr>
        <w:t>.,</w:t>
      </w:r>
      <w:proofErr w:type="gramEnd"/>
      <w:r w:rsidRPr="00CA7790">
        <w:rPr>
          <w:rFonts w:ascii="Arial Narrow" w:eastAsia="Times New Roman" w:hAnsi="Arial Narrow" w:cs="Times New Roman"/>
          <w:sz w:val="24"/>
          <w:szCs w:val="24"/>
          <w:lang w:eastAsia="pt-BR"/>
        </w:rPr>
        <w:t xml:space="preserve"> do </w:t>
      </w:r>
      <w:hyperlink r:id="rId30" w:history="1">
        <w:r w:rsidRPr="00F477E8">
          <w:rPr>
            <w:rFonts w:ascii="Arial Narrow" w:eastAsia="Times New Roman" w:hAnsi="Arial Narrow" w:cs="Times New Roman"/>
            <w:color w:val="0000FF"/>
            <w:sz w:val="24"/>
            <w:szCs w:val="24"/>
            <w:u w:val="single"/>
            <w:lang w:eastAsia="pt-BR"/>
          </w:rPr>
          <w:t>D</w:t>
        </w:r>
      </w:hyperlink>
      <w:hyperlink r:id="rId31" w:history="1">
        <w:r w:rsidRPr="00F477E8">
          <w:rPr>
            <w:rFonts w:ascii="Arial Narrow" w:eastAsia="Times New Roman" w:hAnsi="Arial Narrow" w:cs="Times New Roman"/>
            <w:color w:val="0000FF"/>
            <w:sz w:val="24"/>
            <w:szCs w:val="24"/>
            <w:u w:val="single"/>
            <w:lang w:eastAsia="pt-BR"/>
          </w:rPr>
          <w:t>ecreto n</w:t>
        </w:r>
      </w:hyperlink>
      <w:r w:rsidRPr="00CA7790">
        <w:rPr>
          <w:rFonts w:ascii="Arial Narrow" w:eastAsia="Times New Roman" w:hAnsi="Arial Narrow" w:cs="Times New Roman"/>
          <w:sz w:val="24"/>
          <w:szCs w:val="24"/>
          <w:lang w:eastAsia="pt-BR"/>
        </w:rPr>
        <w:t> </w:t>
      </w:r>
      <w:hyperlink r:id="rId32" w:history="1">
        <w:r w:rsidRPr="00F477E8">
          <w:rPr>
            <w:rFonts w:ascii="Arial Narrow" w:eastAsia="Times New Roman" w:hAnsi="Arial Narrow" w:cs="Times New Roman"/>
            <w:color w:val="0000FF"/>
            <w:sz w:val="24"/>
            <w:szCs w:val="24"/>
            <w:u w:val="single"/>
            <w:lang w:eastAsia="pt-BR"/>
          </w:rPr>
          <w:t>º 9.310,</w:t>
        </w:r>
      </w:hyperlink>
      <w:r w:rsidRPr="00CA7790">
        <w:rPr>
          <w:rFonts w:ascii="Arial Narrow" w:eastAsia="Times New Roman" w:hAnsi="Arial Narrow" w:cs="Times New Roman"/>
          <w:sz w:val="24"/>
          <w:szCs w:val="24"/>
          <w:lang w:eastAsia="pt-BR"/>
        </w:rPr>
        <w:t> </w:t>
      </w:r>
      <w:hyperlink r:id="rId33" w:history="1">
        <w:r w:rsidRPr="00F477E8">
          <w:rPr>
            <w:rFonts w:ascii="Arial Narrow" w:eastAsia="Times New Roman" w:hAnsi="Arial Narrow" w:cs="Times New Roman"/>
            <w:color w:val="0000FF"/>
            <w:sz w:val="24"/>
            <w:szCs w:val="24"/>
            <w:u w:val="single"/>
            <w:lang w:eastAsia="pt-BR"/>
          </w:rPr>
          <w:t>de </w:t>
        </w:r>
      </w:hyperlink>
      <w:hyperlink r:id="rId34" w:history="1">
        <w:r w:rsidRPr="00F477E8">
          <w:rPr>
            <w:rFonts w:ascii="Arial Narrow" w:eastAsia="Times New Roman" w:hAnsi="Arial Narrow" w:cs="Times New Roman"/>
            <w:color w:val="0000FF"/>
            <w:sz w:val="24"/>
            <w:szCs w:val="24"/>
            <w:u w:val="single"/>
            <w:lang w:eastAsia="pt-BR"/>
          </w:rPr>
          <w:t>15 </w:t>
        </w:r>
      </w:hyperlink>
      <w:hyperlink r:id="rId35" w:history="1">
        <w:r w:rsidRPr="00F477E8">
          <w:rPr>
            <w:rFonts w:ascii="Arial Narrow" w:eastAsia="Times New Roman" w:hAnsi="Arial Narrow" w:cs="Times New Roman"/>
            <w:color w:val="0000FF"/>
            <w:sz w:val="24"/>
            <w:szCs w:val="24"/>
            <w:u w:val="single"/>
            <w:lang w:eastAsia="pt-BR"/>
          </w:rPr>
          <w:t>de março de </w:t>
        </w:r>
      </w:hyperlink>
      <w:hyperlink r:id="rId36" w:history="1">
        <w:r w:rsidRPr="00F477E8">
          <w:rPr>
            <w:rFonts w:ascii="Arial Narrow" w:eastAsia="Times New Roman" w:hAnsi="Arial Narrow" w:cs="Times New Roman"/>
            <w:color w:val="0000FF"/>
            <w:sz w:val="24"/>
            <w:szCs w:val="24"/>
            <w:u w:val="single"/>
            <w:lang w:eastAsia="pt-BR"/>
          </w:rPr>
          <w:t>2018</w:t>
        </w:r>
      </w:hyperlink>
      <w:r w:rsidRPr="00CA7790">
        <w:rPr>
          <w:rFonts w:ascii="Arial Narrow" w:eastAsia="Times New Roman" w:hAnsi="Arial Narrow" w:cs="Times New Roman"/>
          <w:sz w:val="24"/>
          <w:szCs w:val="24"/>
          <w:lang w:eastAsia="pt-BR"/>
        </w:rPr>
        <w:t> que regulamenta a Lei Federal nº 13.465 de 11 de julho de 2017.</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Parágrafo único - </w:t>
      </w:r>
      <w:r w:rsidRPr="00CA7790">
        <w:rPr>
          <w:rFonts w:ascii="Arial Narrow" w:eastAsia="Times New Roman" w:hAnsi="Arial Narrow" w:cs="Times New Roman"/>
          <w:sz w:val="24"/>
          <w:szCs w:val="24"/>
          <w:lang w:eastAsia="pt-BR"/>
        </w:rPr>
        <w:t xml:space="preserve">A REURB pode ser </w:t>
      </w:r>
      <w:proofErr w:type="gramStart"/>
      <w:r w:rsidRPr="00CA7790">
        <w:rPr>
          <w:rFonts w:ascii="Arial Narrow" w:eastAsia="Times New Roman" w:hAnsi="Arial Narrow" w:cs="Times New Roman"/>
          <w:sz w:val="24"/>
          <w:szCs w:val="24"/>
          <w:lang w:eastAsia="pt-BR"/>
        </w:rPr>
        <w:t>implementada</w:t>
      </w:r>
      <w:proofErr w:type="gramEnd"/>
      <w:r w:rsidRPr="00CA7790">
        <w:rPr>
          <w:rFonts w:ascii="Arial Narrow" w:eastAsia="Times New Roman" w:hAnsi="Arial Narrow" w:cs="Times New Roman"/>
          <w:sz w:val="24"/>
          <w:szCs w:val="24"/>
          <w:lang w:eastAsia="pt-BR"/>
        </w:rPr>
        <w:t xml:space="preserve"> por etapas, abrangendo o núcleo urbano informal de forma total ou parcial.</w:t>
      </w:r>
    </w:p>
    <w:p w:rsidR="00F477E8" w:rsidRPr="00F477E8" w:rsidRDefault="00F477E8" w:rsidP="00CA7790">
      <w:pPr>
        <w:spacing w:after="0" w:line="240" w:lineRule="auto"/>
        <w:jc w:val="both"/>
        <w:rPr>
          <w:rFonts w:ascii="Arial Narrow" w:eastAsia="Times New Roman" w:hAnsi="Arial Narrow" w:cs="Times New Roman"/>
          <w:b/>
          <w:bCs/>
          <w:sz w:val="24"/>
          <w:szCs w:val="24"/>
          <w:lang w:eastAsia="pt-BR"/>
        </w:rPr>
      </w:pP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 6º.</w:t>
      </w:r>
      <w:r w:rsidRPr="00CA7790">
        <w:rPr>
          <w:rFonts w:ascii="Arial Narrow" w:eastAsia="Times New Roman" w:hAnsi="Arial Narrow" w:cs="Times New Roman"/>
          <w:sz w:val="24"/>
          <w:szCs w:val="24"/>
          <w:lang w:eastAsia="pt-BR"/>
        </w:rPr>
        <w:t> As obras de Infraestrutura básica para a aplicação da REURB conterá no mínimo os seguintes equipamentos: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Arruamento;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 </w:t>
      </w:r>
      <w:r w:rsidRPr="00CA7790">
        <w:rPr>
          <w:rFonts w:ascii="Arial Narrow" w:eastAsia="Times New Roman" w:hAnsi="Arial Narrow" w:cs="Times New Roman"/>
          <w:sz w:val="24"/>
          <w:szCs w:val="24"/>
          <w:lang w:eastAsia="pt-BR"/>
        </w:rPr>
        <w:t>- sistema de abastecimento de água potável, coletivo ou individual;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III </w:t>
      </w:r>
      <w:r w:rsidRPr="00CA7790">
        <w:rPr>
          <w:rFonts w:ascii="Arial Narrow" w:eastAsia="Times New Roman" w:hAnsi="Arial Narrow" w:cs="Times New Roman"/>
          <w:sz w:val="24"/>
          <w:szCs w:val="24"/>
          <w:lang w:eastAsia="pt-BR"/>
        </w:rPr>
        <w:t>- sistema de coleta e tratamento do esgotamento sanitário, ou soluções para o esgotamento sanitário, coletivo ou individual;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IV </w:t>
      </w:r>
      <w:r w:rsidRPr="00CA7790">
        <w:rPr>
          <w:rFonts w:ascii="Arial Narrow" w:eastAsia="Times New Roman" w:hAnsi="Arial Narrow" w:cs="Times New Roman"/>
          <w:sz w:val="24"/>
          <w:szCs w:val="24"/>
          <w:lang w:eastAsia="pt-BR"/>
        </w:rPr>
        <w:t>- rede de energia elétrica domiciliar;</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 </w:t>
      </w:r>
      <w:r w:rsidRPr="00CA7790">
        <w:rPr>
          <w:rFonts w:ascii="Arial Narrow" w:eastAsia="Times New Roman" w:hAnsi="Arial Narrow" w:cs="Times New Roman"/>
          <w:sz w:val="24"/>
          <w:szCs w:val="24"/>
          <w:lang w:eastAsia="pt-BR"/>
        </w:rPr>
        <w:t>- soluções de drenagem, quando necessário;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Parágrafo único - </w:t>
      </w:r>
      <w:r w:rsidRPr="00CA7790">
        <w:rPr>
          <w:rFonts w:ascii="Arial Narrow" w:eastAsia="Times New Roman" w:hAnsi="Arial Narrow" w:cs="Times New Roman"/>
          <w:sz w:val="24"/>
          <w:szCs w:val="24"/>
          <w:lang w:eastAsia="pt-BR"/>
        </w:rPr>
        <w:t>As obras de implantação de infraestrutura essencial, de equipamentos comunitários e de melhoria habitacional, bem como sua manutenção, podem ser realizadas antes, durante ou após a conclusão da REURB.</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7º. </w:t>
      </w:r>
      <w:r w:rsidRPr="00CA7790">
        <w:rPr>
          <w:rFonts w:ascii="Arial Narrow" w:eastAsia="Times New Roman" w:hAnsi="Arial Narrow" w:cs="Times New Roman"/>
          <w:sz w:val="24"/>
          <w:szCs w:val="24"/>
          <w:lang w:eastAsia="pt-BR"/>
        </w:rPr>
        <w:t>Compete ao Município: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classificar, caso a caso, as modalidades da REURB;</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 </w:t>
      </w:r>
      <w:r w:rsidRPr="00CA7790">
        <w:rPr>
          <w:rFonts w:ascii="Arial Narrow" w:eastAsia="Times New Roman" w:hAnsi="Arial Narrow" w:cs="Times New Roman"/>
          <w:sz w:val="24"/>
          <w:szCs w:val="24"/>
          <w:lang w:eastAsia="pt-BR"/>
        </w:rPr>
        <w:t>- processar, analisar e aprovar os projetos de regularização fundiária;</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III </w:t>
      </w:r>
      <w:r w:rsidRPr="00CA7790">
        <w:rPr>
          <w:rFonts w:ascii="Arial Narrow" w:eastAsia="Times New Roman" w:hAnsi="Arial Narrow" w:cs="Times New Roman"/>
          <w:sz w:val="24"/>
          <w:szCs w:val="24"/>
          <w:lang w:eastAsia="pt-BR"/>
        </w:rPr>
        <w:t>- emitir a Certidão de Regularização Fundiária –</w:t>
      </w:r>
      <w:r w:rsidR="00F477E8" w:rsidRPr="00F477E8">
        <w:rPr>
          <w:rFonts w:ascii="Arial Narrow" w:eastAsia="Times New Roman" w:hAnsi="Arial Narrow" w:cs="Times New Roman"/>
          <w:sz w:val="24"/>
          <w:szCs w:val="24"/>
          <w:lang w:eastAsia="pt-BR"/>
        </w:rPr>
        <w:t xml:space="preserve"> </w:t>
      </w:r>
      <w:r w:rsidRPr="00CA7790">
        <w:rPr>
          <w:rFonts w:ascii="Arial Narrow" w:eastAsia="Times New Roman" w:hAnsi="Arial Narrow" w:cs="Times New Roman"/>
          <w:sz w:val="24"/>
          <w:szCs w:val="24"/>
          <w:lang w:eastAsia="pt-BR"/>
        </w:rPr>
        <w:t>CRF.</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1º.</w:t>
      </w:r>
      <w:r w:rsidRPr="00CA7790">
        <w:rPr>
          <w:rFonts w:ascii="Arial Narrow" w:eastAsia="Times New Roman" w:hAnsi="Arial Narrow" w:cs="Times New Roman"/>
          <w:sz w:val="24"/>
          <w:szCs w:val="24"/>
          <w:lang w:eastAsia="pt-BR"/>
        </w:rPr>
        <w:t> Por meio da legitimação fundiária, em quaisquer das modalidades da REURB, o ocupante adquire a unidade imobiliária com destinação urbana livre e desembaraçada de quaisquer ônus, direitos reais, gravames ou inscrições, eventualmente existentes em sua matrícula ou transcrição de origem, exceto quando disserem respeito ao próprio beneficiário.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2º.</w:t>
      </w:r>
      <w:r w:rsidRPr="00CA7790">
        <w:rPr>
          <w:rFonts w:ascii="Arial Narrow" w:eastAsia="Times New Roman" w:hAnsi="Arial Narrow" w:cs="Times New Roman"/>
          <w:sz w:val="24"/>
          <w:szCs w:val="24"/>
          <w:lang w:eastAsia="pt-BR"/>
        </w:rPr>
        <w:t> As inscrições, as indisponibilidades e os gravames existentes no registro da área maior originária serão transportados para as matrículas das unidades imobiliárias que não houverem sido adquiridas por legitimação fundiária.</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lastRenderedPageBreak/>
        <w:t>§ 3º.</w:t>
      </w:r>
      <w:r w:rsidRPr="00CA7790">
        <w:rPr>
          <w:rFonts w:ascii="Arial Narrow" w:eastAsia="Times New Roman" w:hAnsi="Arial Narrow" w:cs="Times New Roman"/>
          <w:sz w:val="24"/>
          <w:szCs w:val="24"/>
          <w:lang w:eastAsia="pt-BR"/>
        </w:rPr>
        <w:t> Na REURB-S de imóveis públicos, a União, o Estados, e o Município e as suas entidades vinculadas, quando titulares do domínio, ficam autorizados a reconhecer o direito de propriedade aos ocupantes do núcleo urbano informal regularizado por meio da legitimação fundiária.</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4º.</w:t>
      </w:r>
      <w:r w:rsidRPr="00CA7790">
        <w:rPr>
          <w:rFonts w:ascii="Arial Narrow" w:eastAsia="Times New Roman" w:hAnsi="Arial Narrow" w:cs="Times New Roman"/>
          <w:sz w:val="24"/>
          <w:szCs w:val="24"/>
          <w:lang w:eastAsia="pt-BR"/>
        </w:rPr>
        <w:t> Na legitimação fundiária, o Poder Público encaminhará ao Cartório de Registro de Imóveis competente, para registro imediato da aquisição de propriedade, a Certidão de Regularização Fundiária - CRF, acompanhada do projeto de regularização fundiária aprovado, a listagem dos ocupantes e a sua devida qualificação, bem como a identificação das áreas que estes ocupam, dispensando outros documentos, ainda que exigidos na fase de instrução do processo.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5º.</w:t>
      </w:r>
      <w:r w:rsidRPr="00CA7790">
        <w:rPr>
          <w:rFonts w:ascii="Arial Narrow" w:eastAsia="Times New Roman" w:hAnsi="Arial Narrow" w:cs="Times New Roman"/>
          <w:sz w:val="24"/>
          <w:szCs w:val="24"/>
          <w:lang w:eastAsia="pt-BR"/>
        </w:rPr>
        <w:t> O Poder Público poderá atribuir o domínio por legitimação fundiária aos ocupantes que não tenham constado da listagem inicial, por meio de cadastramento complementar e envio de lista complementar ao Cartório de Registro de Imóveis.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6º.</w:t>
      </w:r>
      <w:r w:rsidRPr="00CA7790">
        <w:rPr>
          <w:rFonts w:ascii="Arial Narrow" w:eastAsia="Times New Roman" w:hAnsi="Arial Narrow" w:cs="Times New Roman"/>
          <w:sz w:val="24"/>
          <w:szCs w:val="24"/>
          <w:lang w:eastAsia="pt-BR"/>
        </w:rPr>
        <w:t> O procedimento previsto neste artigo poderá ser aplicado no todo ou em parte ao núcleo urbano informal.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7º.</w:t>
      </w:r>
      <w:r w:rsidRPr="00CA7790">
        <w:rPr>
          <w:rFonts w:ascii="Arial Narrow" w:eastAsia="Times New Roman" w:hAnsi="Arial Narrow" w:cs="Times New Roman"/>
          <w:sz w:val="24"/>
          <w:szCs w:val="24"/>
          <w:lang w:eastAsia="pt-BR"/>
        </w:rPr>
        <w:t> A utilização do procedimento previsto nesta lei, não impede a regularização das unidades imobiliárias por outra forma ou programa, que não a de legitimação fundiária.</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8º.</w:t>
      </w:r>
      <w:r w:rsidRPr="00CA7790">
        <w:rPr>
          <w:rFonts w:ascii="Arial Narrow" w:eastAsia="Times New Roman" w:hAnsi="Arial Narrow" w:cs="Times New Roman"/>
          <w:sz w:val="24"/>
          <w:szCs w:val="24"/>
          <w:lang w:eastAsia="pt-BR"/>
        </w:rPr>
        <w:t> Caberá ao Poder Público municipal no REURB-S notificar os titulares de domínio, os responsáveis pela implantação do núcleo urbano informal, os confinantes e terceiros eventualmente interessados, por via postal com aviso de recebimento, no endereço que constar da matrícula, da transcrição do imóvel ou do cadastro imobiliário do município, sendo considerada efetuada quando comprovada a entrega nesse endereço, ou na impossibilidade de entrega, a notificação será feita por edital, para que apresentem impugnação no prazo de trinta dias.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9º.</w:t>
      </w:r>
      <w:r w:rsidRPr="00CA7790">
        <w:rPr>
          <w:rFonts w:ascii="Arial Narrow" w:eastAsia="Times New Roman" w:hAnsi="Arial Narrow" w:cs="Times New Roman"/>
          <w:sz w:val="24"/>
          <w:szCs w:val="24"/>
          <w:lang w:eastAsia="pt-BR"/>
        </w:rPr>
        <w:t> Quando houver na planta que acompanha o requerimento a assinatura dos confrontantes com reconhecimento de firma, concordando com as confrontações fica dispensada, em relação a estes, a notificação de que trata o parágrafo anterior.</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8º.</w:t>
      </w:r>
      <w:r w:rsidRPr="00CA7790">
        <w:rPr>
          <w:rFonts w:ascii="Arial Narrow" w:eastAsia="Times New Roman" w:hAnsi="Arial Narrow" w:cs="Times New Roman"/>
          <w:sz w:val="24"/>
          <w:szCs w:val="24"/>
          <w:lang w:eastAsia="pt-BR"/>
        </w:rPr>
        <w:t> O título de legitimação de posse poderá ser cancelado pelo Poder Público emitente quando constatado que as condições estabelecidas na </w:t>
      </w:r>
      <w:hyperlink r:id="rId37" w:history="1">
        <w:r w:rsidRPr="00F477E8">
          <w:rPr>
            <w:rFonts w:ascii="Arial Narrow" w:eastAsia="Times New Roman" w:hAnsi="Arial Narrow" w:cs="Times New Roman"/>
            <w:color w:val="0000FF"/>
            <w:sz w:val="24"/>
            <w:szCs w:val="24"/>
            <w:u w:val="single"/>
            <w:lang w:eastAsia="pt-BR"/>
          </w:rPr>
          <w:t>Lei nº 13.465</w:t>
        </w:r>
      </w:hyperlink>
      <w:r w:rsidRPr="00CA7790">
        <w:rPr>
          <w:rFonts w:ascii="Arial Narrow" w:eastAsia="Times New Roman" w:hAnsi="Arial Narrow" w:cs="Times New Roman"/>
          <w:sz w:val="24"/>
          <w:szCs w:val="24"/>
          <w:lang w:eastAsia="pt-BR"/>
        </w:rPr>
        <w:t> </w:t>
      </w:r>
      <w:hyperlink r:id="rId38" w:history="1">
        <w:r w:rsidRPr="00F477E8">
          <w:rPr>
            <w:rFonts w:ascii="Arial Narrow" w:eastAsia="Times New Roman" w:hAnsi="Arial Narrow" w:cs="Times New Roman"/>
            <w:color w:val="0000FF"/>
            <w:sz w:val="24"/>
            <w:szCs w:val="24"/>
            <w:u w:val="single"/>
            <w:lang w:eastAsia="pt-BR"/>
          </w:rPr>
          <w:t>/</w:t>
        </w:r>
      </w:hyperlink>
      <w:hyperlink r:id="rId39" w:history="1">
        <w:r w:rsidRPr="00F477E8">
          <w:rPr>
            <w:rFonts w:ascii="Arial Narrow" w:eastAsia="Times New Roman" w:hAnsi="Arial Narrow" w:cs="Times New Roman"/>
            <w:color w:val="0000FF"/>
            <w:sz w:val="24"/>
            <w:szCs w:val="24"/>
            <w:u w:val="single"/>
            <w:lang w:eastAsia="pt-BR"/>
          </w:rPr>
          <w:t>2017</w:t>
        </w:r>
      </w:hyperlink>
      <w:r w:rsidRPr="00CA7790">
        <w:rPr>
          <w:rFonts w:ascii="Arial Narrow" w:eastAsia="Times New Roman" w:hAnsi="Arial Narrow" w:cs="Times New Roman"/>
          <w:sz w:val="24"/>
          <w:szCs w:val="24"/>
          <w:lang w:eastAsia="pt-BR"/>
        </w:rPr>
        <w:t>, e no Decreto que a regulamentou deixaram de ser satisfeitas, sem que seja devida qualquer indenização àquele que irregularmente se beneficiou do instrumento, inclusive daquelas já aprovadas pelo Poder Público anteriormente à promulgação desta Lei.</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t> </w:t>
      </w:r>
      <w:r w:rsidRPr="00CA7790">
        <w:rPr>
          <w:rFonts w:ascii="Arial Narrow" w:eastAsia="Times New Roman" w:hAnsi="Arial Narrow" w:cs="Times New Roman"/>
          <w:sz w:val="24"/>
          <w:szCs w:val="24"/>
          <w:lang w:eastAsia="pt-BR"/>
        </w:rPr>
        <w:br/>
      </w:r>
      <w:r w:rsidR="000C21B8" w:rsidRPr="00F477E8">
        <w:rPr>
          <w:rFonts w:ascii="Arial Narrow" w:eastAsia="Times New Roman" w:hAnsi="Arial Narrow" w:cs="Times New Roman"/>
          <w:b/>
          <w:bCs/>
          <w:sz w:val="24"/>
          <w:szCs w:val="24"/>
          <w:lang w:eastAsia="pt-BR"/>
        </w:rPr>
        <w:t>Art.</w:t>
      </w:r>
      <w:r w:rsidRPr="00F477E8">
        <w:rPr>
          <w:rFonts w:ascii="Arial Narrow" w:eastAsia="Times New Roman" w:hAnsi="Arial Narrow" w:cs="Times New Roman"/>
          <w:b/>
          <w:bCs/>
          <w:sz w:val="24"/>
          <w:szCs w:val="24"/>
          <w:lang w:eastAsia="pt-BR"/>
        </w:rPr>
        <w:t>9º.</w:t>
      </w:r>
      <w:r w:rsidRPr="00CA7790">
        <w:rPr>
          <w:rFonts w:ascii="Arial Narrow" w:eastAsia="Times New Roman" w:hAnsi="Arial Narrow" w:cs="Times New Roman"/>
          <w:sz w:val="24"/>
          <w:szCs w:val="24"/>
          <w:lang w:eastAsia="pt-BR"/>
        </w:rPr>
        <w:t> O requerimento será composto por:</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 </w:t>
      </w:r>
      <w:r w:rsidRPr="00CA7790">
        <w:rPr>
          <w:rFonts w:ascii="Arial Narrow" w:eastAsia="Times New Roman" w:hAnsi="Arial Narrow" w:cs="Times New Roman"/>
          <w:sz w:val="24"/>
          <w:szCs w:val="24"/>
          <w:lang w:eastAsia="pt-BR"/>
        </w:rPr>
        <w:t xml:space="preserve">- Planta </w:t>
      </w:r>
      <w:proofErr w:type="spellStart"/>
      <w:r w:rsidRPr="00CA7790">
        <w:rPr>
          <w:rFonts w:ascii="Arial Narrow" w:eastAsia="Times New Roman" w:hAnsi="Arial Narrow" w:cs="Times New Roman"/>
          <w:sz w:val="24"/>
          <w:szCs w:val="24"/>
          <w:lang w:eastAsia="pt-BR"/>
        </w:rPr>
        <w:t>georreferenciada</w:t>
      </w:r>
      <w:proofErr w:type="spellEnd"/>
      <w:r w:rsidRPr="00CA7790">
        <w:rPr>
          <w:rFonts w:ascii="Arial Narrow" w:eastAsia="Times New Roman" w:hAnsi="Arial Narrow" w:cs="Times New Roman"/>
          <w:sz w:val="24"/>
          <w:szCs w:val="24"/>
          <w:lang w:eastAsia="pt-BR"/>
        </w:rPr>
        <w:t xml:space="preserve"> e memorial descritivo da área a ser regularizada assinada por um profissional legalmente habilitado, ficando dispensada a apresentação de Anotação de Responsabilidade Técnica (ART) no Conselho Regional de Engenharia e Agronomia (CREA) ou de Registro de Responsabilidade Técnica (RRT) no Conselho de Arquitetura e Urbanismo (CAU), quando o responsável técnico for servidor ou empregado público conforme parágrafo único 5º do artigo 36 da Lei Federal nº 13.465/2017, preferencialmente com firma reconhecida da assinatura dos confrontantes;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w:t>
      </w:r>
      <w:r w:rsidRPr="00CA7790">
        <w:rPr>
          <w:rFonts w:ascii="Arial Narrow" w:eastAsia="Times New Roman" w:hAnsi="Arial Narrow" w:cs="Times New Roman"/>
          <w:sz w:val="24"/>
          <w:szCs w:val="24"/>
          <w:lang w:eastAsia="pt-BR"/>
        </w:rPr>
        <w:t> - Documento de identidade com foto dos beneficiários;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III</w:t>
      </w:r>
      <w:r w:rsidRPr="00CA7790">
        <w:rPr>
          <w:rFonts w:ascii="Arial Narrow" w:eastAsia="Times New Roman" w:hAnsi="Arial Narrow" w:cs="Times New Roman"/>
          <w:sz w:val="24"/>
          <w:szCs w:val="24"/>
          <w:lang w:eastAsia="pt-BR"/>
        </w:rPr>
        <w:t> - Comprovante de estado civil;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IV</w:t>
      </w:r>
      <w:r w:rsidRPr="00CA7790">
        <w:rPr>
          <w:rFonts w:ascii="Arial Narrow" w:eastAsia="Times New Roman" w:hAnsi="Arial Narrow" w:cs="Times New Roman"/>
          <w:sz w:val="24"/>
          <w:szCs w:val="24"/>
          <w:lang w:eastAsia="pt-BR"/>
        </w:rPr>
        <w:t> - Número de inscrição no Cadastro de Pessoas Físicas – CPF dos beneficiários;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w:t>
      </w:r>
      <w:r w:rsidRPr="00CA7790">
        <w:rPr>
          <w:rFonts w:ascii="Arial Narrow" w:eastAsia="Times New Roman" w:hAnsi="Arial Narrow" w:cs="Times New Roman"/>
          <w:sz w:val="24"/>
          <w:szCs w:val="24"/>
          <w:lang w:eastAsia="pt-BR"/>
        </w:rPr>
        <w:t> - Identificação dos confrontantes;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 </w:t>
      </w:r>
      <w:r w:rsidRPr="00CA7790">
        <w:rPr>
          <w:rFonts w:ascii="Arial Narrow" w:eastAsia="Times New Roman" w:hAnsi="Arial Narrow" w:cs="Times New Roman"/>
          <w:sz w:val="24"/>
          <w:szCs w:val="24"/>
          <w:lang w:eastAsia="pt-BR"/>
        </w:rPr>
        <w:t>- Comprovante de renda dos beneficiários;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VII</w:t>
      </w:r>
      <w:r w:rsidRPr="00CA7790">
        <w:rPr>
          <w:rFonts w:ascii="Arial Narrow" w:eastAsia="Times New Roman" w:hAnsi="Arial Narrow" w:cs="Times New Roman"/>
          <w:sz w:val="24"/>
          <w:szCs w:val="24"/>
          <w:lang w:eastAsia="pt-BR"/>
        </w:rPr>
        <w:t> - Documentos que comprovem a posse do imóvel por mais de cinco anos;</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VIII</w:t>
      </w:r>
      <w:r w:rsidRPr="00CA7790">
        <w:rPr>
          <w:rFonts w:ascii="Arial Narrow" w:eastAsia="Times New Roman" w:hAnsi="Arial Narrow" w:cs="Times New Roman"/>
          <w:sz w:val="24"/>
          <w:szCs w:val="24"/>
          <w:lang w:eastAsia="pt-BR"/>
        </w:rPr>
        <w:t> - Em casos de REURB-E, em se tratando de imóveis de titularidade do município, o comprovante de pagamento ou doação.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10.</w:t>
      </w:r>
      <w:r w:rsidRPr="00CA7790">
        <w:rPr>
          <w:rFonts w:ascii="Arial Narrow" w:eastAsia="Times New Roman" w:hAnsi="Arial Narrow" w:cs="Times New Roman"/>
          <w:sz w:val="24"/>
          <w:szCs w:val="24"/>
          <w:lang w:eastAsia="pt-BR"/>
        </w:rPr>
        <w:t> É facultado ao município estabelecer convênio ou outras formas de cooperação com legitimados a requerer a REURB, para atingir os objetivos desta lei.</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lastRenderedPageBreak/>
        <w:br/>
      </w:r>
      <w:r w:rsidRPr="00F477E8">
        <w:rPr>
          <w:rFonts w:ascii="Arial Narrow" w:eastAsia="Times New Roman" w:hAnsi="Arial Narrow" w:cs="Times New Roman"/>
          <w:b/>
          <w:bCs/>
          <w:sz w:val="24"/>
          <w:szCs w:val="24"/>
          <w:lang w:eastAsia="pt-BR"/>
        </w:rPr>
        <w:t>Art. 11. </w:t>
      </w:r>
      <w:r w:rsidRPr="00CA7790">
        <w:rPr>
          <w:rFonts w:ascii="Arial Narrow" w:eastAsia="Times New Roman" w:hAnsi="Arial Narrow" w:cs="Times New Roman"/>
          <w:sz w:val="24"/>
          <w:szCs w:val="24"/>
          <w:lang w:eastAsia="pt-BR"/>
        </w:rPr>
        <w:t>O Município poderá criar câmaras de prevenção e resolução administrativa de conflitos, no âmbito da administração local, inclusive mediante celebração de ajustes com o Tribunal de Justiça, as quais detenham competência para dirimir conflitos relacionados à REURB, mediante solução consensual.</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1º.</w:t>
      </w:r>
      <w:r w:rsidR="00F477E8" w:rsidRPr="00F477E8">
        <w:rPr>
          <w:rFonts w:ascii="Arial Narrow" w:eastAsia="Times New Roman" w:hAnsi="Arial Narrow" w:cs="Times New Roman"/>
          <w:sz w:val="24"/>
          <w:szCs w:val="24"/>
          <w:lang w:eastAsia="pt-BR"/>
        </w:rPr>
        <w:t> O modo de</w:t>
      </w:r>
      <w:r w:rsidRPr="00CA7790">
        <w:rPr>
          <w:rFonts w:ascii="Arial Narrow" w:eastAsia="Times New Roman" w:hAnsi="Arial Narrow" w:cs="Times New Roman"/>
          <w:sz w:val="24"/>
          <w:szCs w:val="24"/>
          <w:lang w:eastAsia="pt-BR"/>
        </w:rPr>
        <w:t> composição e funcionamento das câmaras de que trata o caput será estabelecido em ato do Poder Executivo municipal, ou na forma da </w:t>
      </w:r>
      <w:hyperlink r:id="rId40" w:history="1">
        <w:r w:rsidRPr="00F477E8">
          <w:rPr>
            <w:rFonts w:ascii="Arial Narrow" w:eastAsia="Times New Roman" w:hAnsi="Arial Narrow" w:cs="Times New Roman"/>
            <w:color w:val="0000FF"/>
            <w:sz w:val="24"/>
            <w:szCs w:val="24"/>
            <w:u w:val="single"/>
            <w:lang w:eastAsia="pt-BR"/>
          </w:rPr>
          <w:t>Lei nº 13.140, de 26 de junho de 2015</w:t>
        </w:r>
      </w:hyperlink>
      <w:r w:rsidRPr="00CA7790">
        <w:rPr>
          <w:rFonts w:ascii="Arial Narrow" w:eastAsia="Times New Roman" w:hAnsi="Arial Narrow" w:cs="Times New Roman"/>
          <w:sz w:val="24"/>
          <w:szCs w:val="24"/>
          <w:lang w:eastAsia="pt-BR"/>
        </w:rPr>
        <w:t>.</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t> </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 2º.</w:t>
      </w:r>
      <w:r w:rsidRPr="00CA7790">
        <w:rPr>
          <w:rFonts w:ascii="Arial Narrow" w:eastAsia="Times New Roman" w:hAnsi="Arial Narrow" w:cs="Times New Roman"/>
          <w:sz w:val="24"/>
          <w:szCs w:val="24"/>
          <w:lang w:eastAsia="pt-BR"/>
        </w:rPr>
        <w:t> Se houver consenso entre as partes, o acordo será reduzido a termo e constituirá condição para a conclusão da REURB, com consequente expedição da CRF.</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3º.</w:t>
      </w:r>
      <w:r w:rsidRPr="00CA7790">
        <w:rPr>
          <w:rFonts w:ascii="Arial Narrow" w:eastAsia="Times New Roman" w:hAnsi="Arial Narrow" w:cs="Times New Roman"/>
          <w:sz w:val="24"/>
          <w:szCs w:val="24"/>
          <w:lang w:eastAsia="pt-BR"/>
        </w:rPr>
        <w:t> As câmaras de que tratam o caput poderão instaurar, de ofício ou mediante provocação, procedimento de mediação coletiva de conflitos relacionados à REURB.</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4º.</w:t>
      </w:r>
      <w:r w:rsidRPr="00CA7790">
        <w:rPr>
          <w:rFonts w:ascii="Arial Narrow" w:eastAsia="Times New Roman" w:hAnsi="Arial Narrow" w:cs="Times New Roman"/>
          <w:sz w:val="24"/>
          <w:szCs w:val="24"/>
          <w:lang w:eastAsia="pt-BR"/>
        </w:rPr>
        <w:t> A instauração de procedimento administrativo para a resolução consensual de conflitos no âmbito da REURB</w:t>
      </w:r>
      <w:r w:rsidR="00F477E8" w:rsidRPr="00F477E8">
        <w:rPr>
          <w:rFonts w:ascii="Arial Narrow" w:eastAsia="Times New Roman" w:hAnsi="Arial Narrow" w:cs="Times New Roman"/>
          <w:sz w:val="24"/>
          <w:szCs w:val="24"/>
          <w:lang w:eastAsia="pt-BR"/>
        </w:rPr>
        <w:t xml:space="preserve"> suspende</w:t>
      </w:r>
      <w:r w:rsidRPr="00CA7790">
        <w:rPr>
          <w:rFonts w:ascii="Arial Narrow" w:eastAsia="Times New Roman" w:hAnsi="Arial Narrow" w:cs="Times New Roman"/>
          <w:sz w:val="24"/>
          <w:szCs w:val="24"/>
          <w:lang w:eastAsia="pt-BR"/>
        </w:rPr>
        <w:t xml:space="preserve"> a p</w:t>
      </w:r>
      <w:bookmarkStart w:id="0" w:name="_GoBack"/>
      <w:bookmarkEnd w:id="0"/>
      <w:r w:rsidRPr="00CA7790">
        <w:rPr>
          <w:rFonts w:ascii="Arial Narrow" w:eastAsia="Times New Roman" w:hAnsi="Arial Narrow" w:cs="Times New Roman"/>
          <w:sz w:val="24"/>
          <w:szCs w:val="24"/>
          <w:lang w:eastAsia="pt-BR"/>
        </w:rPr>
        <w:t>rescrição.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5º.</w:t>
      </w:r>
      <w:r w:rsidRPr="00CA7790">
        <w:rPr>
          <w:rFonts w:ascii="Arial Narrow" w:eastAsia="Times New Roman" w:hAnsi="Arial Narrow" w:cs="Times New Roman"/>
          <w:sz w:val="24"/>
          <w:szCs w:val="24"/>
          <w:lang w:eastAsia="pt-BR"/>
        </w:rPr>
        <w:t xml:space="preserve"> O Município poderá, mediante a celebração de convênio, utilizar Centros Judiciários de Solução de Conflitos e Cidadania ou as câmaras de mediação credenciadas perante o Tribunal de Justiça do Estado </w:t>
      </w:r>
      <w:r w:rsidR="00754E61">
        <w:rPr>
          <w:rFonts w:ascii="Arial Narrow" w:eastAsia="Times New Roman" w:hAnsi="Arial Narrow" w:cs="Times New Roman"/>
          <w:sz w:val="24"/>
          <w:szCs w:val="24"/>
          <w:lang w:eastAsia="pt-BR"/>
        </w:rPr>
        <w:t>do Paraná.</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 xml:space="preserve">§6º. </w:t>
      </w:r>
      <w:r w:rsidRPr="00CA7790">
        <w:rPr>
          <w:rFonts w:ascii="Arial Narrow" w:eastAsia="Times New Roman" w:hAnsi="Arial Narrow" w:cs="Times New Roman"/>
          <w:sz w:val="24"/>
          <w:szCs w:val="24"/>
          <w:lang w:eastAsia="pt-BR"/>
        </w:rPr>
        <w:t>Os imóveis que estiverem em litígio judicial poderão fazer parte de mediação e de acordo de que trata o presente artigo, devidamente acompanhado pelo setor social do Município.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12.</w:t>
      </w:r>
      <w:r w:rsidRPr="00CA7790">
        <w:rPr>
          <w:rFonts w:ascii="Arial Narrow" w:eastAsia="Times New Roman" w:hAnsi="Arial Narrow" w:cs="Times New Roman"/>
          <w:sz w:val="24"/>
          <w:szCs w:val="24"/>
          <w:lang w:eastAsia="pt-BR"/>
        </w:rPr>
        <w:t xml:space="preserve"> A Certidão de Regularização Fundiária - CRF é o ato administrativo de aprovação da REURB, que acompanhará o projeto de regularização </w:t>
      </w:r>
      <w:r w:rsidR="00F477E8" w:rsidRPr="00F477E8">
        <w:rPr>
          <w:rFonts w:ascii="Arial Narrow" w:eastAsia="Times New Roman" w:hAnsi="Arial Narrow" w:cs="Times New Roman"/>
          <w:sz w:val="24"/>
          <w:szCs w:val="24"/>
          <w:lang w:eastAsia="pt-BR"/>
        </w:rPr>
        <w:t>fundiária aprovada</w:t>
      </w:r>
      <w:r w:rsidRPr="00CA7790">
        <w:rPr>
          <w:rFonts w:ascii="Arial Narrow" w:eastAsia="Times New Roman" w:hAnsi="Arial Narrow" w:cs="Times New Roman"/>
          <w:sz w:val="24"/>
          <w:szCs w:val="24"/>
          <w:lang w:eastAsia="pt-BR"/>
        </w:rPr>
        <w:t xml:space="preserve"> e conterá, no mínimo:</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I</w:t>
      </w:r>
      <w:r w:rsidRPr="00CA7790">
        <w:rPr>
          <w:rFonts w:ascii="Arial Narrow" w:eastAsia="Times New Roman" w:hAnsi="Arial Narrow" w:cs="Times New Roman"/>
          <w:sz w:val="24"/>
          <w:szCs w:val="24"/>
          <w:lang w:eastAsia="pt-BR"/>
        </w:rPr>
        <w:t> - o nome do núcleo urbano regularizado;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 </w:t>
      </w:r>
      <w:r w:rsidRPr="00CA7790">
        <w:rPr>
          <w:rFonts w:ascii="Arial Narrow" w:eastAsia="Times New Roman" w:hAnsi="Arial Narrow" w:cs="Times New Roman"/>
          <w:sz w:val="24"/>
          <w:szCs w:val="24"/>
          <w:lang w:eastAsia="pt-BR"/>
        </w:rPr>
        <w:t>- a localização do núcleo urbano regularizado;</w:t>
      </w:r>
    </w:p>
    <w:p w:rsidR="000C21B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III</w:t>
      </w:r>
      <w:r w:rsidRPr="00CA7790">
        <w:rPr>
          <w:rFonts w:ascii="Arial Narrow" w:eastAsia="Times New Roman" w:hAnsi="Arial Narrow" w:cs="Times New Roman"/>
          <w:sz w:val="24"/>
          <w:szCs w:val="24"/>
          <w:lang w:eastAsia="pt-BR"/>
        </w:rPr>
        <w:t> - a modalidade da REURB;</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IV</w:t>
      </w:r>
      <w:r w:rsidRPr="00CA7790">
        <w:rPr>
          <w:rFonts w:ascii="Arial Narrow" w:eastAsia="Times New Roman" w:hAnsi="Arial Narrow" w:cs="Times New Roman"/>
          <w:sz w:val="24"/>
          <w:szCs w:val="24"/>
          <w:lang w:eastAsia="pt-BR"/>
        </w:rPr>
        <w:t> - os responsáveis pelas obras e pelos serviços constantes do cronograma, quando for o caso;</w:t>
      </w: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V</w:t>
      </w:r>
      <w:r w:rsidRPr="00CA7790">
        <w:rPr>
          <w:rFonts w:ascii="Arial Narrow" w:eastAsia="Times New Roman" w:hAnsi="Arial Narrow" w:cs="Times New Roman"/>
          <w:sz w:val="24"/>
          <w:szCs w:val="24"/>
          <w:lang w:eastAsia="pt-BR"/>
        </w:rPr>
        <w:t> - a indicação numérica de cada unidade regularizada, quando possível;</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w:t>
      </w:r>
      <w:r w:rsidRPr="00CA7790">
        <w:rPr>
          <w:rFonts w:ascii="Arial Narrow" w:eastAsia="Times New Roman" w:hAnsi="Arial Narrow" w:cs="Times New Roman"/>
          <w:sz w:val="24"/>
          <w:szCs w:val="24"/>
          <w:lang w:eastAsia="pt-BR"/>
        </w:rPr>
        <w:t> - a listagem dos ocupantes que houverem adquirido a unidade, por meio de título de legitimação fundiária ou de ato único de registro, que conterá o nome do ocupante, o seu estado civil, a sua a profissão, o seu número de inscrição no CPF, o número de sua carteira de identidade e a sua a filiação.</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VII</w:t>
      </w:r>
      <w:r w:rsidRPr="00CA7790">
        <w:rPr>
          <w:rFonts w:ascii="Arial Narrow" w:eastAsia="Times New Roman" w:hAnsi="Arial Narrow" w:cs="Times New Roman"/>
          <w:sz w:val="24"/>
          <w:szCs w:val="24"/>
          <w:lang w:eastAsia="pt-BR"/>
        </w:rPr>
        <w:t> - Indicação da matricula de origem quando houver;</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bookmarkStart w:id="1" w:name="art39"/>
      <w:r w:rsidRPr="00F477E8">
        <w:rPr>
          <w:rFonts w:ascii="Arial Narrow" w:eastAsia="Times New Roman" w:hAnsi="Arial Narrow" w:cs="Times New Roman"/>
          <w:b/>
          <w:bCs/>
          <w:sz w:val="24"/>
          <w:szCs w:val="24"/>
          <w:lang w:eastAsia="pt-BR"/>
        </w:rPr>
        <w:t>Parágrafo único</w:t>
      </w:r>
      <w:bookmarkEnd w:id="1"/>
      <w:r w:rsidRPr="00CA7790">
        <w:rPr>
          <w:rFonts w:ascii="Arial Narrow" w:eastAsia="Times New Roman" w:hAnsi="Arial Narrow" w:cs="Times New Roman"/>
          <w:sz w:val="24"/>
          <w:szCs w:val="24"/>
          <w:lang w:eastAsia="pt-BR"/>
        </w:rPr>
        <w:t> - A CRF, na hipótese de REURB somente para titulação final dos beneficiários de núcleos urbanos informais já registrados junto ao Cartório de Registro de Imóveis, dispensa a apresentação do projeto de regularização fundiária aprovado.</w:t>
      </w:r>
    </w:p>
    <w:p w:rsidR="00F477E8" w:rsidRPr="00F477E8" w:rsidRDefault="00F477E8" w:rsidP="00CA7790">
      <w:pPr>
        <w:spacing w:after="0" w:line="240" w:lineRule="auto"/>
        <w:jc w:val="both"/>
        <w:rPr>
          <w:rFonts w:ascii="Arial Narrow" w:eastAsia="Times New Roman" w:hAnsi="Arial Narrow" w:cs="Times New Roman"/>
          <w:sz w:val="24"/>
          <w:szCs w:val="24"/>
          <w:lang w:eastAsia="pt-BR"/>
        </w:rPr>
      </w:pP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 13.</w:t>
      </w:r>
      <w:r w:rsidRPr="00CA7790">
        <w:rPr>
          <w:rFonts w:ascii="Arial Narrow" w:eastAsia="Times New Roman" w:hAnsi="Arial Narrow" w:cs="Times New Roman"/>
          <w:sz w:val="24"/>
          <w:szCs w:val="24"/>
          <w:lang w:eastAsia="pt-BR"/>
        </w:rPr>
        <w:t>  O indeferimento do projeto de regularização fundiária será técnica e legalmente fundamentado, de modo a permitir, quando possível, a reformulação do referido projeto e a reavaliação do pedido de aprovação.</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 14.</w:t>
      </w:r>
      <w:r w:rsidRPr="00CA7790">
        <w:rPr>
          <w:rFonts w:ascii="Arial Narrow" w:eastAsia="Times New Roman" w:hAnsi="Arial Narrow" w:cs="Times New Roman"/>
          <w:sz w:val="24"/>
          <w:szCs w:val="24"/>
          <w:lang w:eastAsia="pt-BR"/>
        </w:rPr>
        <w:t> O projeto de REURB aprovado será enviado ao Poder Legislativo, para autorização da emissão da Certidão de regularização fundiária - CRF.</w:t>
      </w: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Art.15.</w:t>
      </w:r>
      <w:r w:rsidRPr="00CA7790">
        <w:rPr>
          <w:rFonts w:ascii="Arial Narrow" w:eastAsia="Times New Roman" w:hAnsi="Arial Narrow" w:cs="Times New Roman"/>
          <w:sz w:val="24"/>
          <w:szCs w:val="24"/>
          <w:lang w:eastAsia="pt-BR"/>
        </w:rPr>
        <w:t xml:space="preserve"> Os projetos de REURB já aprovados até a promulgação desta Lei de cujas matrículas estão de posse seus proprietários ficam devidamente convalidados.</w:t>
      </w:r>
    </w:p>
    <w:p w:rsidR="00D133E7" w:rsidRDefault="00CA7790" w:rsidP="00D133E7">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r>
      <w:r w:rsidRPr="00F477E8">
        <w:rPr>
          <w:rFonts w:ascii="Arial Narrow" w:eastAsia="Times New Roman" w:hAnsi="Arial Narrow" w:cs="Times New Roman"/>
          <w:b/>
          <w:bCs/>
          <w:sz w:val="24"/>
          <w:szCs w:val="24"/>
          <w:lang w:eastAsia="pt-BR"/>
        </w:rPr>
        <w:t>Art.1</w:t>
      </w:r>
      <w:r w:rsidR="000651D1">
        <w:rPr>
          <w:rFonts w:ascii="Arial Narrow" w:eastAsia="Times New Roman" w:hAnsi="Arial Narrow" w:cs="Times New Roman"/>
          <w:b/>
          <w:bCs/>
          <w:sz w:val="24"/>
          <w:szCs w:val="24"/>
          <w:lang w:eastAsia="pt-BR"/>
        </w:rPr>
        <w:t>6</w:t>
      </w:r>
      <w:r w:rsidRPr="00F477E8">
        <w:rPr>
          <w:rFonts w:ascii="Arial Narrow" w:eastAsia="Times New Roman" w:hAnsi="Arial Narrow" w:cs="Times New Roman"/>
          <w:b/>
          <w:bCs/>
          <w:sz w:val="24"/>
          <w:szCs w:val="24"/>
          <w:lang w:eastAsia="pt-BR"/>
        </w:rPr>
        <w:t>.</w:t>
      </w:r>
      <w:r w:rsidRPr="00CA7790">
        <w:rPr>
          <w:rFonts w:ascii="Arial Narrow" w:eastAsia="Times New Roman" w:hAnsi="Arial Narrow" w:cs="Times New Roman"/>
          <w:sz w:val="24"/>
          <w:szCs w:val="24"/>
          <w:lang w:eastAsia="pt-BR"/>
        </w:rPr>
        <w:t xml:space="preserve"> Quando se tratar de REURB-S de imóveis públicos, a União, o Estados, e o Município e as suas entidades vinculadas, quando titulares do domínio, ficam autorizados a emitir a Certidão d</w:t>
      </w:r>
      <w:r w:rsidR="00D133E7">
        <w:rPr>
          <w:rFonts w:ascii="Arial Narrow" w:eastAsia="Times New Roman" w:hAnsi="Arial Narrow" w:cs="Times New Roman"/>
          <w:sz w:val="24"/>
          <w:szCs w:val="24"/>
          <w:lang w:eastAsia="pt-BR"/>
        </w:rPr>
        <w:t>e Regularização Fundiária – CRF.</w:t>
      </w:r>
    </w:p>
    <w:p w:rsidR="00D133E7" w:rsidRPr="00F477E8" w:rsidRDefault="00D133E7" w:rsidP="00D133E7">
      <w:pPr>
        <w:spacing w:after="0" w:line="240" w:lineRule="auto"/>
        <w:jc w:val="both"/>
        <w:rPr>
          <w:rFonts w:ascii="Arial Narrow" w:eastAsia="Times New Roman" w:hAnsi="Arial Narrow" w:cs="Times New Roman"/>
          <w:b/>
          <w:bCs/>
          <w:sz w:val="24"/>
          <w:szCs w:val="24"/>
          <w:lang w:eastAsia="pt-BR"/>
        </w:rPr>
      </w:pPr>
    </w:p>
    <w:p w:rsidR="00F477E8" w:rsidRPr="00F477E8" w:rsidRDefault="00CA7790" w:rsidP="00CA7790">
      <w:pPr>
        <w:spacing w:after="0" w:line="240" w:lineRule="auto"/>
        <w:jc w:val="both"/>
        <w:rPr>
          <w:rFonts w:ascii="Arial Narrow" w:eastAsia="Times New Roman" w:hAnsi="Arial Narrow" w:cs="Times New Roman"/>
          <w:sz w:val="24"/>
          <w:szCs w:val="24"/>
          <w:lang w:eastAsia="pt-BR"/>
        </w:rPr>
      </w:pPr>
      <w:r w:rsidRPr="00F477E8">
        <w:rPr>
          <w:rFonts w:ascii="Arial Narrow" w:eastAsia="Times New Roman" w:hAnsi="Arial Narrow" w:cs="Times New Roman"/>
          <w:b/>
          <w:bCs/>
          <w:sz w:val="24"/>
          <w:szCs w:val="24"/>
          <w:lang w:eastAsia="pt-BR"/>
        </w:rPr>
        <w:t>Art. 1</w:t>
      </w:r>
      <w:r w:rsidR="000651D1">
        <w:rPr>
          <w:rFonts w:ascii="Arial Narrow" w:eastAsia="Times New Roman" w:hAnsi="Arial Narrow" w:cs="Times New Roman"/>
          <w:b/>
          <w:bCs/>
          <w:sz w:val="24"/>
          <w:szCs w:val="24"/>
          <w:lang w:eastAsia="pt-BR"/>
        </w:rPr>
        <w:t>7</w:t>
      </w:r>
      <w:r w:rsidRPr="00F477E8">
        <w:rPr>
          <w:rFonts w:ascii="Arial Narrow" w:eastAsia="Times New Roman" w:hAnsi="Arial Narrow" w:cs="Times New Roman"/>
          <w:b/>
          <w:bCs/>
          <w:sz w:val="24"/>
          <w:szCs w:val="24"/>
          <w:lang w:eastAsia="pt-BR"/>
        </w:rPr>
        <w:t>. </w:t>
      </w:r>
      <w:r w:rsidRPr="00CA7790">
        <w:rPr>
          <w:rFonts w:ascii="Arial Narrow" w:eastAsia="Times New Roman" w:hAnsi="Arial Narrow" w:cs="Times New Roman"/>
          <w:sz w:val="24"/>
          <w:szCs w:val="24"/>
          <w:lang w:eastAsia="pt-BR"/>
        </w:rPr>
        <w:t>Esta lei poderá ser regulamentada por decreto.</w:t>
      </w:r>
    </w:p>
    <w:p w:rsidR="00F477E8" w:rsidRPr="00F477E8" w:rsidRDefault="000651D1" w:rsidP="00F477E8">
      <w:pPr>
        <w:pStyle w:val="Standarduser"/>
        <w:spacing w:line="360" w:lineRule="auto"/>
        <w:jc w:val="both"/>
        <w:rPr>
          <w:rFonts w:ascii="Arial Narrow" w:hAnsi="Arial Narrow"/>
        </w:rPr>
      </w:pPr>
      <w:r>
        <w:rPr>
          <w:rFonts w:ascii="Arial Narrow" w:eastAsia="Times New Roman" w:hAnsi="Arial Narrow" w:cs="Times New Roman"/>
          <w:b/>
          <w:bCs/>
          <w:lang w:eastAsia="pt-BR"/>
        </w:rPr>
        <w:lastRenderedPageBreak/>
        <w:t>Art. 18</w:t>
      </w:r>
      <w:r w:rsidR="00CA7790" w:rsidRPr="00CA7790">
        <w:rPr>
          <w:rFonts w:ascii="Arial Narrow" w:eastAsia="Times New Roman" w:hAnsi="Arial Narrow" w:cs="Times New Roman"/>
          <w:lang w:eastAsia="pt-BR"/>
        </w:rPr>
        <w:t>. Esta lei entra em vigor na data da sua publicação, revogadas as disposições em contrário.</w:t>
      </w:r>
      <w:r w:rsidR="00CA7790" w:rsidRPr="00CA7790">
        <w:rPr>
          <w:rFonts w:ascii="Arial Narrow" w:eastAsia="Times New Roman" w:hAnsi="Arial Narrow" w:cs="Times New Roman"/>
          <w:lang w:eastAsia="pt-BR"/>
        </w:rPr>
        <w:br/>
        <w:t> </w:t>
      </w:r>
      <w:r w:rsidR="00CA7790" w:rsidRPr="00CA7790">
        <w:rPr>
          <w:rFonts w:ascii="Arial Narrow" w:eastAsia="Times New Roman" w:hAnsi="Arial Narrow" w:cs="Times New Roman"/>
          <w:lang w:eastAsia="pt-BR"/>
        </w:rPr>
        <w:br/>
      </w:r>
      <w:r w:rsidR="00F477E8" w:rsidRPr="00F477E8">
        <w:rPr>
          <w:rFonts w:ascii="Arial Narrow" w:hAnsi="Arial Narrow" w:cs="Arial Narrow"/>
        </w:rPr>
        <w:t>Paço Municipal ______________________ Gabinete do Prefeito, aos ____ dias do mês de __________ do ano de dois mil e vinte e quatro (___/_____/2024).</w:t>
      </w:r>
    </w:p>
    <w:p w:rsidR="00F477E8" w:rsidRPr="00F477E8" w:rsidRDefault="00F477E8" w:rsidP="00F477E8">
      <w:pPr>
        <w:pStyle w:val="Standard"/>
        <w:spacing w:line="360" w:lineRule="auto"/>
        <w:ind w:left="2124" w:firstLine="1985"/>
        <w:jc w:val="center"/>
        <w:rPr>
          <w:rFonts w:ascii="Arial Narrow" w:hAnsi="Arial Narrow"/>
          <w:b/>
          <w:i/>
        </w:rPr>
      </w:pPr>
    </w:p>
    <w:p w:rsidR="00F477E8" w:rsidRPr="00F477E8" w:rsidRDefault="00F477E8" w:rsidP="00F477E8">
      <w:pPr>
        <w:pStyle w:val="Standard"/>
        <w:spacing w:line="360" w:lineRule="auto"/>
        <w:ind w:left="2124" w:firstLine="1985"/>
        <w:jc w:val="center"/>
        <w:rPr>
          <w:rFonts w:ascii="Arial Narrow" w:hAnsi="Arial Narrow"/>
          <w:b/>
          <w:i/>
        </w:rPr>
      </w:pPr>
    </w:p>
    <w:p w:rsidR="00F477E8" w:rsidRPr="00F477E8" w:rsidRDefault="00F477E8" w:rsidP="00F477E8">
      <w:pPr>
        <w:pStyle w:val="Standard"/>
        <w:ind w:left="2124" w:firstLine="1985"/>
        <w:jc w:val="center"/>
        <w:rPr>
          <w:rFonts w:ascii="Arial Narrow" w:hAnsi="Arial Narrow"/>
          <w:b/>
          <w:i/>
        </w:rPr>
      </w:pPr>
      <w:r w:rsidRPr="00F477E8">
        <w:rPr>
          <w:rFonts w:ascii="Arial Narrow" w:hAnsi="Arial Narrow"/>
          <w:b/>
          <w:i/>
        </w:rPr>
        <w:t>Nome do prefeito</w:t>
      </w:r>
    </w:p>
    <w:p w:rsidR="00F477E8" w:rsidRPr="00F477E8" w:rsidRDefault="00F477E8" w:rsidP="00F477E8">
      <w:pPr>
        <w:pStyle w:val="Standard"/>
        <w:ind w:left="2124" w:firstLine="1985"/>
        <w:jc w:val="center"/>
        <w:rPr>
          <w:rFonts w:ascii="Arial Narrow" w:hAnsi="Arial Narrow"/>
        </w:rPr>
      </w:pPr>
      <w:r w:rsidRPr="00F477E8">
        <w:rPr>
          <w:rFonts w:ascii="Arial Narrow" w:hAnsi="Arial Narrow"/>
          <w:i/>
        </w:rPr>
        <w:t>Prefeito Municipal</w:t>
      </w:r>
    </w:p>
    <w:p w:rsidR="00F477E8" w:rsidRPr="00F477E8" w:rsidRDefault="00CA7790" w:rsidP="00F477E8">
      <w:pPr>
        <w:spacing w:after="0" w:line="240" w:lineRule="auto"/>
        <w:jc w:val="both"/>
        <w:rPr>
          <w:rFonts w:ascii="Arial Narrow" w:eastAsia="Times New Roman" w:hAnsi="Arial Narrow" w:cs="Times New Roman"/>
          <w:sz w:val="24"/>
          <w:szCs w:val="24"/>
          <w:lang w:eastAsia="pt-BR"/>
        </w:rPr>
      </w:pPr>
      <w:r w:rsidRPr="00CA7790">
        <w:rPr>
          <w:rFonts w:ascii="Arial Narrow" w:eastAsia="Times New Roman" w:hAnsi="Arial Narrow" w:cs="Times New Roman"/>
          <w:sz w:val="24"/>
          <w:szCs w:val="24"/>
          <w:lang w:eastAsia="pt-BR"/>
        </w:rPr>
        <w:br/>
        <w:t> </w:t>
      </w:r>
      <w:r w:rsidRPr="00CA7790">
        <w:rPr>
          <w:rFonts w:ascii="Arial Narrow" w:eastAsia="Times New Roman" w:hAnsi="Arial Narrow" w:cs="Times New Roman"/>
          <w:sz w:val="24"/>
          <w:szCs w:val="24"/>
          <w:lang w:eastAsia="pt-BR"/>
        </w:rPr>
        <w:br/>
        <w:t> </w:t>
      </w:r>
    </w:p>
    <w:p w:rsidR="00F477E8" w:rsidRDefault="00CA7790" w:rsidP="00CA7790">
      <w:pPr>
        <w:spacing w:after="0" w:line="240" w:lineRule="auto"/>
        <w:jc w:val="both"/>
        <w:rPr>
          <w:rFonts w:ascii="Times New Roman" w:eastAsia="Times New Roman" w:hAnsi="Times New Roman" w:cs="Times New Roman"/>
          <w:sz w:val="24"/>
          <w:szCs w:val="24"/>
          <w:lang w:eastAsia="pt-BR"/>
        </w:rPr>
      </w:pPr>
      <w:r w:rsidRPr="00CA7790">
        <w:rPr>
          <w:rFonts w:ascii="Arial Narrow" w:eastAsia="Times New Roman" w:hAnsi="Arial Narrow" w:cs="Times New Roman"/>
          <w:sz w:val="24"/>
          <w:szCs w:val="24"/>
          <w:lang w:eastAsia="pt-BR"/>
        </w:rPr>
        <w:t> </w:t>
      </w:r>
      <w:r w:rsidRPr="00CA7790">
        <w:rPr>
          <w:rFonts w:ascii="Arial Narrow" w:eastAsia="Times New Roman" w:hAnsi="Arial Narrow" w:cs="Times New Roman"/>
          <w:sz w:val="24"/>
          <w:szCs w:val="24"/>
          <w:lang w:eastAsia="pt-BR"/>
        </w:rPr>
        <w:br/>
      </w:r>
      <w:r w:rsidRPr="00CA7790">
        <w:rPr>
          <w:rFonts w:ascii="Times New Roman" w:eastAsia="Times New Roman" w:hAnsi="Times New Roman" w:cs="Times New Roman"/>
          <w:sz w:val="24"/>
          <w:szCs w:val="24"/>
          <w:lang w:eastAsia="pt-BR"/>
        </w:rPr>
        <w:t> </w:t>
      </w:r>
      <w:r w:rsidRPr="00CA7790">
        <w:rPr>
          <w:rFonts w:ascii="Times New Roman" w:eastAsia="Times New Roman" w:hAnsi="Times New Roman" w:cs="Times New Roman"/>
          <w:sz w:val="24"/>
          <w:szCs w:val="24"/>
          <w:lang w:eastAsia="pt-BR"/>
        </w:rPr>
        <w:br/>
        <w:t> </w:t>
      </w:r>
      <w:r w:rsidRPr="00CA7790">
        <w:rPr>
          <w:rFonts w:ascii="Times New Roman" w:eastAsia="Times New Roman" w:hAnsi="Times New Roman" w:cs="Times New Roman"/>
          <w:sz w:val="24"/>
          <w:szCs w:val="24"/>
          <w:lang w:eastAsia="pt-BR"/>
        </w:rPr>
        <w:br/>
        <w:t> </w:t>
      </w:r>
      <w:r w:rsidRPr="00CA7790">
        <w:rPr>
          <w:rFonts w:ascii="Times New Roman" w:eastAsia="Times New Roman" w:hAnsi="Times New Roman" w:cs="Times New Roman"/>
          <w:sz w:val="24"/>
          <w:szCs w:val="24"/>
          <w:lang w:eastAsia="pt-BR"/>
        </w:rPr>
        <w:br/>
        <w:t> </w:t>
      </w:r>
    </w:p>
    <w:p w:rsidR="00F477E8" w:rsidRDefault="00F477E8" w:rsidP="00CA7790">
      <w:pPr>
        <w:spacing w:after="0" w:line="240" w:lineRule="auto"/>
        <w:jc w:val="both"/>
        <w:rPr>
          <w:rFonts w:ascii="Times New Roman" w:eastAsia="Times New Roman" w:hAnsi="Times New Roman" w:cs="Times New Roman"/>
          <w:sz w:val="24"/>
          <w:szCs w:val="24"/>
          <w:lang w:eastAsia="pt-BR"/>
        </w:rPr>
      </w:pPr>
    </w:p>
    <w:p w:rsidR="005C2D04" w:rsidRDefault="00CA7790" w:rsidP="00F477E8">
      <w:pPr>
        <w:spacing w:after="0" w:line="240" w:lineRule="auto"/>
        <w:jc w:val="both"/>
      </w:pPr>
      <w:r w:rsidRPr="00CA7790">
        <w:rPr>
          <w:rFonts w:ascii="Times New Roman" w:eastAsia="Times New Roman" w:hAnsi="Times New Roman" w:cs="Times New Roman"/>
          <w:sz w:val="24"/>
          <w:szCs w:val="24"/>
          <w:lang w:eastAsia="pt-BR"/>
        </w:rPr>
        <w:br/>
        <w:t> </w:t>
      </w:r>
      <w:r w:rsidRPr="00CA7790">
        <w:rPr>
          <w:rFonts w:ascii="Times New Roman" w:eastAsia="Times New Roman" w:hAnsi="Times New Roman" w:cs="Times New Roman"/>
          <w:sz w:val="24"/>
          <w:szCs w:val="24"/>
          <w:lang w:eastAsia="pt-BR"/>
        </w:rPr>
        <w:br/>
      </w:r>
    </w:p>
    <w:sectPr w:rsidR="005C2D04" w:rsidSect="00CA779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90"/>
    <w:rsid w:val="000651D1"/>
    <w:rsid w:val="000C21B8"/>
    <w:rsid w:val="00232ED7"/>
    <w:rsid w:val="003475E7"/>
    <w:rsid w:val="00754E61"/>
    <w:rsid w:val="008266D4"/>
    <w:rsid w:val="009E3137"/>
    <w:rsid w:val="00B90ABE"/>
    <w:rsid w:val="00CA7790"/>
    <w:rsid w:val="00D133E7"/>
    <w:rsid w:val="00F47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7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790"/>
    <w:rPr>
      <w:b/>
      <w:bCs/>
    </w:rPr>
  </w:style>
  <w:style w:type="character" w:styleId="Hyperlink">
    <w:name w:val="Hyperlink"/>
    <w:basedOn w:val="Fontepargpadro"/>
    <w:uiPriority w:val="99"/>
    <w:semiHidden/>
    <w:unhideWhenUsed/>
    <w:rsid w:val="00CA7790"/>
    <w:rPr>
      <w:color w:val="0000FF"/>
      <w:u w:val="single"/>
    </w:rPr>
  </w:style>
  <w:style w:type="paragraph" w:customStyle="1" w:styleId="Standard">
    <w:name w:val="Standard"/>
    <w:rsid w:val="00F477E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rduser">
    <w:name w:val="Standard (user)"/>
    <w:rsid w:val="00F477E8"/>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7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790"/>
    <w:rPr>
      <w:b/>
      <w:bCs/>
    </w:rPr>
  </w:style>
  <w:style w:type="character" w:styleId="Hyperlink">
    <w:name w:val="Hyperlink"/>
    <w:basedOn w:val="Fontepargpadro"/>
    <w:uiPriority w:val="99"/>
    <w:semiHidden/>
    <w:unhideWhenUsed/>
    <w:rsid w:val="00CA7790"/>
    <w:rPr>
      <w:color w:val="0000FF"/>
      <w:u w:val="single"/>
    </w:rPr>
  </w:style>
  <w:style w:type="paragraph" w:customStyle="1" w:styleId="Standard">
    <w:name w:val="Standard"/>
    <w:rsid w:val="00F477E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rduser">
    <w:name w:val="Standard (user)"/>
    <w:rsid w:val="00F477E8"/>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11277">
      <w:bodyDiv w:val="1"/>
      <w:marLeft w:val="0"/>
      <w:marRight w:val="0"/>
      <w:marTop w:val="0"/>
      <w:marBottom w:val="0"/>
      <w:divBdr>
        <w:top w:val="none" w:sz="0" w:space="0" w:color="auto"/>
        <w:left w:val="none" w:sz="0" w:space="0" w:color="auto"/>
        <w:bottom w:val="none" w:sz="0" w:space="0" w:color="auto"/>
        <w:right w:val="none" w:sz="0" w:space="0" w:color="auto"/>
      </w:divBdr>
      <w:divsChild>
        <w:div w:id="1235123518">
          <w:marLeft w:val="0"/>
          <w:marRight w:val="0"/>
          <w:marTop w:val="0"/>
          <w:marBottom w:val="0"/>
          <w:divBdr>
            <w:top w:val="none" w:sz="0" w:space="0" w:color="auto"/>
            <w:left w:val="none" w:sz="0" w:space="0" w:color="auto"/>
            <w:bottom w:val="none" w:sz="0" w:space="0" w:color="auto"/>
            <w:right w:val="none" w:sz="0" w:space="0" w:color="auto"/>
          </w:divBdr>
        </w:div>
        <w:div w:id="412314230">
          <w:marLeft w:val="0"/>
          <w:marRight w:val="0"/>
          <w:marTop w:val="0"/>
          <w:marBottom w:val="0"/>
          <w:divBdr>
            <w:top w:val="none" w:sz="0" w:space="0" w:color="auto"/>
            <w:left w:val="none" w:sz="0" w:space="0" w:color="auto"/>
            <w:bottom w:val="none" w:sz="0" w:space="0" w:color="auto"/>
            <w:right w:val="none" w:sz="0" w:space="0" w:color="auto"/>
          </w:divBdr>
          <w:divsChild>
            <w:div w:id="13476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695">
      <w:bodyDiv w:val="1"/>
      <w:marLeft w:val="0"/>
      <w:marRight w:val="0"/>
      <w:marTop w:val="0"/>
      <w:marBottom w:val="0"/>
      <w:divBdr>
        <w:top w:val="none" w:sz="0" w:space="0" w:color="auto"/>
        <w:left w:val="none" w:sz="0" w:space="0" w:color="auto"/>
        <w:bottom w:val="none" w:sz="0" w:space="0" w:color="auto"/>
        <w:right w:val="none" w:sz="0" w:space="0" w:color="auto"/>
      </w:divBdr>
      <w:divsChild>
        <w:div w:id="19354952">
          <w:marLeft w:val="0"/>
          <w:marRight w:val="0"/>
          <w:marTop w:val="0"/>
          <w:marBottom w:val="0"/>
          <w:divBdr>
            <w:top w:val="none" w:sz="0" w:space="0" w:color="auto"/>
            <w:left w:val="none" w:sz="0" w:space="0" w:color="auto"/>
            <w:bottom w:val="none" w:sz="0" w:space="0" w:color="auto"/>
            <w:right w:val="none" w:sz="0" w:space="0" w:color="auto"/>
          </w:divBdr>
        </w:div>
        <w:div w:id="1185365712">
          <w:marLeft w:val="0"/>
          <w:marRight w:val="0"/>
          <w:marTop w:val="0"/>
          <w:marBottom w:val="0"/>
          <w:divBdr>
            <w:top w:val="none" w:sz="0" w:space="0" w:color="auto"/>
            <w:left w:val="none" w:sz="0" w:space="0" w:color="auto"/>
            <w:bottom w:val="none" w:sz="0" w:space="0" w:color="auto"/>
            <w:right w:val="none" w:sz="0" w:space="0" w:color="auto"/>
          </w:divBdr>
          <w:divsChild>
            <w:div w:id="13949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slacao.planalto.gov.br/legisla/legislacao.nsf/Viw_Identificacao/DEC%209.310-2018?OpenDocument" TargetMode="External"/><Relationship Id="rId18" Type="http://schemas.openxmlformats.org/officeDocument/2006/relationships/hyperlink" Target="http://legislacao.planalto.gov.br/legisla/legislacao.nsf/Viw_Identificacao/DEC%209.310-2018?OpenDocument" TargetMode="External"/><Relationship Id="rId26" Type="http://schemas.openxmlformats.org/officeDocument/2006/relationships/hyperlink" Target="http://legislacao.planalto.gov.br/legisla/legislacao.nsf/Viw_Identificacao/DEC%209.310-2018?OpenDocument" TargetMode="External"/><Relationship Id="rId39" Type="http://schemas.openxmlformats.org/officeDocument/2006/relationships/hyperlink" Target="http://www.planalto.gov.br/ccivil_03/_ato2015-2018/2017/Lei/L13465.htm" TargetMode="External"/><Relationship Id="rId21" Type="http://schemas.openxmlformats.org/officeDocument/2006/relationships/hyperlink" Target="http://legislacao.planalto.gov.br/legisla/legislacao.nsf/Viw_Identificacao/DEC%209.310-2018?OpenDocument" TargetMode="External"/><Relationship Id="rId34" Type="http://schemas.openxmlformats.org/officeDocument/2006/relationships/hyperlink" Target="http://legislacao.planalto.gov.br/legisla/legislacao.nsf/Viw_Identificacao/DEC%209.310-2018?OpenDocument" TargetMode="External"/><Relationship Id="rId42" Type="http://schemas.openxmlformats.org/officeDocument/2006/relationships/theme" Target="theme/theme1.xml"/><Relationship Id="rId7" Type="http://schemas.openxmlformats.org/officeDocument/2006/relationships/hyperlink" Target="http://legislacao.planalto.gov.br/legisla/legislacao.nsf/Viw_Identificacao/DEC%209.310-2018?OpenDocument" TargetMode="External"/><Relationship Id="rId2" Type="http://schemas.microsoft.com/office/2007/relationships/stylesWithEffects" Target="stylesWithEffects.xml"/><Relationship Id="rId16" Type="http://schemas.openxmlformats.org/officeDocument/2006/relationships/hyperlink" Target="http://legislacao.planalto.gov.br/legisla/legislacao.nsf/Viw_Identificacao/DEC%209.310-2018?OpenDocument" TargetMode="External"/><Relationship Id="rId20" Type="http://schemas.openxmlformats.org/officeDocument/2006/relationships/hyperlink" Target="http://legislacao.planalto.gov.br/legisla/legislacao.nsf/Viw_Identificacao/DEC%209.310-2018?OpenDocument" TargetMode="External"/><Relationship Id="rId29" Type="http://schemas.openxmlformats.org/officeDocument/2006/relationships/hyperlink" Target="http://legislacao.planalto.gov.br/legisla/legislacao.nsf/Viw_Identificacao/DEC%209.310-2018?OpenDocumen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cao.planalto.gov.br/legisla/legislacao.nsf/Viw_Identificacao/DEC%209.310-2018?OpenDocument" TargetMode="External"/><Relationship Id="rId11" Type="http://schemas.openxmlformats.org/officeDocument/2006/relationships/hyperlink" Target="http://legislacao.planalto.gov.br/legisla/legislacao.nsf/Viw_Identificacao/DEC%209.310-2018?OpenDocument" TargetMode="External"/><Relationship Id="rId24" Type="http://schemas.openxmlformats.org/officeDocument/2006/relationships/hyperlink" Target="http://legislacao.planalto.gov.br/legisla/legislacao.nsf/Viw_Identificacao/DEC%209.310-2018?OpenDocument" TargetMode="External"/><Relationship Id="rId32" Type="http://schemas.openxmlformats.org/officeDocument/2006/relationships/hyperlink" Target="http://legislacao.planalto.gov.br/legisla/legislacao.nsf/Viw_Identificacao/DEC%209.310-2018?OpenDocument" TargetMode="External"/><Relationship Id="rId37" Type="http://schemas.openxmlformats.org/officeDocument/2006/relationships/hyperlink" Target="http://www.planalto.gov.br/ccivil_03/_ato2015-2018/2017/Lei/L13465.htm" TargetMode="External"/><Relationship Id="rId40" Type="http://schemas.openxmlformats.org/officeDocument/2006/relationships/hyperlink" Target="http://www.planalto.gov.br/ccivil_03/_ato2015-2018/2015/Lei/L13140.htm" TargetMode="External"/><Relationship Id="rId5" Type="http://schemas.openxmlformats.org/officeDocument/2006/relationships/hyperlink" Target="http://legislacao.planalto.gov.br/legisla/legislacao.nsf/Viw_Identificacao/DEC%209.310-2018?OpenDocument" TargetMode="External"/><Relationship Id="rId15" Type="http://schemas.openxmlformats.org/officeDocument/2006/relationships/hyperlink" Target="http://legislacao.planalto.gov.br/legisla/legislacao.nsf/Viw_Identificacao/DEC%209.310-2018?OpenDocument" TargetMode="External"/><Relationship Id="rId23" Type="http://schemas.openxmlformats.org/officeDocument/2006/relationships/hyperlink" Target="http://legislacao.planalto.gov.br/legisla/legislacao.nsf/Viw_Identificacao/DEC%209.310-2018?OpenDocument" TargetMode="External"/><Relationship Id="rId28" Type="http://schemas.openxmlformats.org/officeDocument/2006/relationships/hyperlink" Target="http://legislacao.planalto.gov.br/legisla/legislacao.nsf/Viw_Identificacao/DEC%209.310-2018?OpenDocument" TargetMode="External"/><Relationship Id="rId36" Type="http://schemas.openxmlformats.org/officeDocument/2006/relationships/hyperlink" Target="http://legislacao.planalto.gov.br/legisla/legislacao.nsf/Viw_Identificacao/DEC%209.310-2018?OpenDocument" TargetMode="External"/><Relationship Id="rId10" Type="http://schemas.openxmlformats.org/officeDocument/2006/relationships/hyperlink" Target="http://legislacao.planalto.gov.br/legisla/legislacao.nsf/Viw_Identificacao/DEC%209.310-2018?OpenDocument" TargetMode="External"/><Relationship Id="rId19" Type="http://schemas.openxmlformats.org/officeDocument/2006/relationships/hyperlink" Target="http://legislacao.planalto.gov.br/legisla/legislacao.nsf/Viw_Identificacao/DEC%209.310-2018?OpenDocument" TargetMode="External"/><Relationship Id="rId31" Type="http://schemas.openxmlformats.org/officeDocument/2006/relationships/hyperlink" Target="http://legislacao.planalto.gov.br/legisla/legislacao.nsf/Viw_Identificacao/DEC%209.310-2018?OpenDocument"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9.310-2018?OpenDocument" TargetMode="External"/><Relationship Id="rId14" Type="http://schemas.openxmlformats.org/officeDocument/2006/relationships/hyperlink" Target="http://legislacao.planalto.gov.br/legisla/legislacao.nsf/Viw_Identificacao/DEC%209.310-2018?OpenDocument" TargetMode="External"/><Relationship Id="rId22" Type="http://schemas.openxmlformats.org/officeDocument/2006/relationships/hyperlink" Target="http://legislacao.planalto.gov.br/legisla/legislacao.nsf/Viw_Identificacao/DEC%209.310-2018?OpenDocument" TargetMode="External"/><Relationship Id="rId27" Type="http://schemas.openxmlformats.org/officeDocument/2006/relationships/hyperlink" Target="http://legislacao.planalto.gov.br/legisla/legislacao.nsf/Viw_Identificacao/DEC%209.310-2018?OpenDocument" TargetMode="External"/><Relationship Id="rId30" Type="http://schemas.openxmlformats.org/officeDocument/2006/relationships/hyperlink" Target="http://legislacao.planalto.gov.br/legisla/legislacao.nsf/Viw_Identificacao/DEC%209.310-2018?OpenDocument" TargetMode="External"/><Relationship Id="rId35" Type="http://schemas.openxmlformats.org/officeDocument/2006/relationships/hyperlink" Target="http://legislacao.planalto.gov.br/legisla/legislacao.nsf/Viw_Identificacao/DEC%209.310-2018?OpenDocument" TargetMode="External"/><Relationship Id="rId8" Type="http://schemas.openxmlformats.org/officeDocument/2006/relationships/hyperlink" Target="http://legislacao.planalto.gov.br/legisla/legislacao.nsf/Viw_Identificacao/DEC%209.310-2018?OpenDocument" TargetMode="External"/><Relationship Id="rId3" Type="http://schemas.openxmlformats.org/officeDocument/2006/relationships/settings" Target="settings.xml"/><Relationship Id="rId12" Type="http://schemas.openxmlformats.org/officeDocument/2006/relationships/hyperlink" Target="http://legislacao.planalto.gov.br/legisla/legislacao.nsf/Viw_Identificacao/DEC%209.310-2018?OpenDocument" TargetMode="External"/><Relationship Id="rId17" Type="http://schemas.openxmlformats.org/officeDocument/2006/relationships/hyperlink" Target="http://legislacao.planalto.gov.br/legisla/legislacao.nsf/Viw_Identificacao/DEC%209.310-2018?OpenDocument" TargetMode="External"/><Relationship Id="rId25" Type="http://schemas.openxmlformats.org/officeDocument/2006/relationships/hyperlink" Target="http://legislacao.planalto.gov.br/legisla/legislacao.nsf/Viw_Identificacao/DEC%209.310-2018?OpenDocument" TargetMode="External"/><Relationship Id="rId33" Type="http://schemas.openxmlformats.org/officeDocument/2006/relationships/hyperlink" Target="http://legislacao.planalto.gov.br/legisla/legislacao.nsf/Viw_Identificacao/DEC%209.310-2018?OpenDocument" TargetMode="External"/><Relationship Id="rId38" Type="http://schemas.openxmlformats.org/officeDocument/2006/relationships/hyperlink" Target="http://www.planalto.gov.br/ccivil_03/_ato2015-2018/2017/Lei/L1346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3401</Words>
  <Characters>18370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Daiane da Silva</dc:creator>
  <cp:lastModifiedBy>Giovanna Stallivieri Fernandes</cp:lastModifiedBy>
  <cp:revision>9</cp:revision>
  <dcterms:created xsi:type="dcterms:W3CDTF">2024-04-10T20:41:00Z</dcterms:created>
  <dcterms:modified xsi:type="dcterms:W3CDTF">2024-04-15T21:28:00Z</dcterms:modified>
</cp:coreProperties>
</file>