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F5E9" w14:textId="77777777" w:rsidR="004E0A1B" w:rsidRPr="00561642" w:rsidRDefault="004E0A1B" w:rsidP="002D4F81">
      <w:pPr>
        <w:pStyle w:val="Ttulo"/>
        <w:spacing w:line="276" w:lineRule="auto"/>
        <w:rPr>
          <w:szCs w:val="28"/>
        </w:rPr>
      </w:pPr>
      <w:r w:rsidRPr="00561642">
        <w:rPr>
          <w:szCs w:val="28"/>
        </w:rPr>
        <w:t>Abertura de Procedimento Licitatório</w:t>
      </w:r>
    </w:p>
    <w:p w14:paraId="2D6BAA03" w14:textId="03E01C27" w:rsidR="004E0A1B" w:rsidRPr="00561642" w:rsidRDefault="00561642" w:rsidP="002D4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42">
        <w:rPr>
          <w:rFonts w:ascii="Times New Roman" w:hAnsi="Times New Roman" w:cs="Times New Roman"/>
          <w:b/>
          <w:sz w:val="28"/>
          <w:szCs w:val="28"/>
        </w:rPr>
        <w:t xml:space="preserve">Programa </w:t>
      </w:r>
      <w:r w:rsidR="00E31B47" w:rsidRPr="00561642">
        <w:rPr>
          <w:rFonts w:ascii="Times New Roman" w:hAnsi="Times New Roman" w:cs="Times New Roman"/>
          <w:b/>
          <w:sz w:val="28"/>
          <w:szCs w:val="28"/>
        </w:rPr>
        <w:t>Paraná Regular</w:t>
      </w:r>
      <w:r w:rsidR="00075943" w:rsidRPr="00561642">
        <w:rPr>
          <w:rFonts w:ascii="Times New Roman" w:hAnsi="Times New Roman" w:cs="Times New Roman"/>
          <w:b/>
          <w:sz w:val="28"/>
          <w:szCs w:val="28"/>
        </w:rPr>
        <w:t>izado</w:t>
      </w:r>
    </w:p>
    <w:p w14:paraId="1665FFA5" w14:textId="0199E945" w:rsidR="004E0A1B" w:rsidRPr="00561642" w:rsidRDefault="0063072B" w:rsidP="002D4F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642">
        <w:rPr>
          <w:rFonts w:ascii="Times New Roman" w:hAnsi="Times New Roman" w:cs="Times New Roman"/>
          <w:b/>
          <w:bCs/>
          <w:sz w:val="28"/>
          <w:szCs w:val="28"/>
        </w:rPr>
        <w:t>Etapa de Estudo</w:t>
      </w:r>
      <w:r w:rsidR="0055274E" w:rsidRPr="0056164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61642">
        <w:rPr>
          <w:rFonts w:ascii="Times New Roman" w:hAnsi="Times New Roman" w:cs="Times New Roman"/>
          <w:b/>
          <w:bCs/>
          <w:sz w:val="28"/>
          <w:szCs w:val="28"/>
        </w:rPr>
        <w:t xml:space="preserve"> Técnico</w:t>
      </w:r>
      <w:r w:rsidR="0055274E" w:rsidRPr="0056164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61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A1B" w:rsidRPr="00561642">
        <w:rPr>
          <w:rFonts w:ascii="Times New Roman" w:hAnsi="Times New Roman" w:cs="Times New Roman"/>
          <w:b/>
          <w:bCs/>
          <w:sz w:val="28"/>
          <w:szCs w:val="28"/>
        </w:rPr>
        <w:t>Preliminares</w:t>
      </w:r>
    </w:p>
    <w:p w14:paraId="620D2C83" w14:textId="77777777" w:rsidR="004E0A1B" w:rsidRPr="00561642" w:rsidRDefault="004E0A1B" w:rsidP="002D4F81">
      <w:pPr>
        <w:tabs>
          <w:tab w:val="left" w:pos="5447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587F5153" w14:textId="36256A38" w:rsidR="00607825" w:rsidRDefault="004E0A1B" w:rsidP="009265B0">
      <w:pPr>
        <w:spacing w:after="120"/>
        <w:ind w:left="1701" w:right="1416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E</w:t>
      </w:r>
      <w:r w:rsidR="00650DB8" w:rsidRPr="00561642">
        <w:rPr>
          <w:rFonts w:ascii="Times New Roman" w:hAnsi="Times New Roman" w:cs="Times New Roman"/>
          <w:b/>
          <w:szCs w:val="24"/>
        </w:rPr>
        <w:t xml:space="preserve">quipe de </w:t>
      </w:r>
      <w:r w:rsidRPr="00561642">
        <w:rPr>
          <w:rFonts w:ascii="Times New Roman" w:hAnsi="Times New Roman" w:cs="Times New Roman"/>
          <w:b/>
          <w:szCs w:val="24"/>
        </w:rPr>
        <w:t>P</w:t>
      </w:r>
      <w:r w:rsidR="00650DB8" w:rsidRPr="00561642">
        <w:rPr>
          <w:rFonts w:ascii="Times New Roman" w:hAnsi="Times New Roman" w:cs="Times New Roman"/>
          <w:b/>
          <w:szCs w:val="24"/>
        </w:rPr>
        <w:t xml:space="preserve">lanejamento </w:t>
      </w:r>
      <w:r w:rsidR="0021445A" w:rsidRPr="00561642">
        <w:rPr>
          <w:rFonts w:ascii="Times New Roman" w:hAnsi="Times New Roman" w:cs="Times New Roman"/>
          <w:b/>
          <w:szCs w:val="24"/>
        </w:rPr>
        <w:t xml:space="preserve">para a contratação de empresa </w:t>
      </w:r>
      <w:r w:rsidR="0010573A" w:rsidRPr="00561642">
        <w:rPr>
          <w:rFonts w:ascii="Times New Roman" w:hAnsi="Times New Roman" w:cs="Times New Roman"/>
          <w:b/>
          <w:szCs w:val="24"/>
        </w:rPr>
        <w:t>para a execução de serviços técnicos, administrativos e jurídicos necessários para promover a regularização fundiária de interesse social da</w:t>
      </w:r>
      <w:r w:rsidR="00BC23DF" w:rsidRPr="00561642">
        <w:rPr>
          <w:rFonts w:ascii="Times New Roman" w:hAnsi="Times New Roman" w:cs="Times New Roman"/>
          <w:b/>
          <w:szCs w:val="24"/>
        </w:rPr>
        <w:t>(</w:t>
      </w:r>
      <w:r w:rsidR="0010573A" w:rsidRPr="00561642">
        <w:rPr>
          <w:rFonts w:ascii="Times New Roman" w:hAnsi="Times New Roman" w:cs="Times New Roman"/>
          <w:b/>
          <w:szCs w:val="24"/>
        </w:rPr>
        <w:t>s</w:t>
      </w:r>
      <w:r w:rsidR="00BC23DF" w:rsidRPr="00561642">
        <w:rPr>
          <w:rFonts w:ascii="Times New Roman" w:hAnsi="Times New Roman" w:cs="Times New Roman"/>
          <w:b/>
          <w:szCs w:val="24"/>
        </w:rPr>
        <w:t>)</w:t>
      </w:r>
      <w:r w:rsidR="0010573A" w:rsidRPr="00561642">
        <w:rPr>
          <w:rFonts w:ascii="Times New Roman" w:hAnsi="Times New Roman" w:cs="Times New Roman"/>
          <w:b/>
          <w:szCs w:val="24"/>
        </w:rPr>
        <w:t xml:space="preserve"> área</w:t>
      </w:r>
      <w:r w:rsidR="00BC23DF" w:rsidRPr="00561642">
        <w:rPr>
          <w:rFonts w:ascii="Times New Roman" w:hAnsi="Times New Roman" w:cs="Times New Roman"/>
          <w:b/>
          <w:szCs w:val="24"/>
        </w:rPr>
        <w:t>(</w:t>
      </w:r>
      <w:r w:rsidR="0010573A" w:rsidRPr="00561642">
        <w:rPr>
          <w:rFonts w:ascii="Times New Roman" w:hAnsi="Times New Roman" w:cs="Times New Roman"/>
          <w:b/>
          <w:szCs w:val="24"/>
        </w:rPr>
        <w:t>s</w:t>
      </w:r>
      <w:r w:rsidR="00BC23DF" w:rsidRPr="00561642">
        <w:rPr>
          <w:rFonts w:ascii="Times New Roman" w:hAnsi="Times New Roman" w:cs="Times New Roman"/>
          <w:b/>
          <w:szCs w:val="24"/>
        </w:rPr>
        <w:t>)</w:t>
      </w:r>
      <w:r w:rsidR="0010573A" w:rsidRPr="00561642">
        <w:rPr>
          <w:rFonts w:ascii="Times New Roman" w:hAnsi="Times New Roman" w:cs="Times New Roman"/>
          <w:b/>
          <w:szCs w:val="24"/>
        </w:rPr>
        <w:t xml:space="preserve"> localizada</w:t>
      </w:r>
      <w:r w:rsidR="00BC23DF" w:rsidRPr="00561642">
        <w:rPr>
          <w:rFonts w:ascii="Times New Roman" w:hAnsi="Times New Roman" w:cs="Times New Roman"/>
          <w:b/>
          <w:szCs w:val="24"/>
        </w:rPr>
        <w:t>(</w:t>
      </w:r>
      <w:r w:rsidR="0010573A" w:rsidRPr="00561642">
        <w:rPr>
          <w:rFonts w:ascii="Times New Roman" w:hAnsi="Times New Roman" w:cs="Times New Roman"/>
          <w:b/>
          <w:szCs w:val="24"/>
        </w:rPr>
        <w:t>s</w:t>
      </w:r>
      <w:r w:rsidR="00BC23DF" w:rsidRPr="00561642">
        <w:rPr>
          <w:rFonts w:ascii="Times New Roman" w:hAnsi="Times New Roman" w:cs="Times New Roman"/>
          <w:b/>
          <w:szCs w:val="24"/>
        </w:rPr>
        <w:t>)</w:t>
      </w:r>
      <w:r w:rsidR="0010573A" w:rsidRPr="00561642">
        <w:rPr>
          <w:rFonts w:ascii="Times New Roman" w:hAnsi="Times New Roman" w:cs="Times New Roman"/>
          <w:b/>
          <w:szCs w:val="24"/>
        </w:rPr>
        <w:t xml:space="preserve"> no município de </w:t>
      </w:r>
      <w:r w:rsidR="00BC23DF" w:rsidRPr="00561642">
        <w:rPr>
          <w:rFonts w:ascii="Times New Roman" w:hAnsi="Times New Roman" w:cs="Times New Roman"/>
          <w:b/>
          <w:szCs w:val="24"/>
          <w:highlight w:val="yellow"/>
        </w:rPr>
        <w:t>XXXXXX</w:t>
      </w:r>
      <w:r w:rsidR="007258C0" w:rsidRPr="00561642">
        <w:rPr>
          <w:rFonts w:ascii="Times New Roman" w:hAnsi="Times New Roman" w:cs="Times New Roman"/>
          <w:b/>
          <w:szCs w:val="24"/>
        </w:rPr>
        <w:t xml:space="preserve"> </w:t>
      </w:r>
      <w:r w:rsidR="0010573A" w:rsidRPr="00561642">
        <w:rPr>
          <w:rFonts w:ascii="Times New Roman" w:hAnsi="Times New Roman" w:cs="Times New Roman"/>
          <w:b/>
          <w:szCs w:val="24"/>
        </w:rPr>
        <w:t>no Estado do Paraná.</w:t>
      </w:r>
    </w:p>
    <w:p w14:paraId="0108A3BE" w14:textId="77777777" w:rsidR="00561642" w:rsidRPr="00561642" w:rsidRDefault="00561642" w:rsidP="009265B0">
      <w:pPr>
        <w:spacing w:after="120"/>
        <w:ind w:left="1701" w:right="1416"/>
        <w:jc w:val="both"/>
        <w:rPr>
          <w:rFonts w:ascii="Times New Roman" w:hAnsi="Times New Roman" w:cs="Times New Roman"/>
          <w:b/>
          <w:szCs w:val="24"/>
        </w:rPr>
      </w:pPr>
    </w:p>
    <w:p w14:paraId="609A32A3" w14:textId="1FA1402E" w:rsidR="00CE6600" w:rsidRPr="00561642" w:rsidRDefault="00CE6600" w:rsidP="00CE660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561642">
        <w:rPr>
          <w:rFonts w:ascii="Times New Roman" w:eastAsia="Calibri" w:hAnsi="Times New Roman" w:cs="Times New Roman"/>
          <w:szCs w:val="24"/>
        </w:rPr>
        <w:t>O presente ETP tem por objetivo, subsidia</w:t>
      </w:r>
      <w:r w:rsidR="00C556C4" w:rsidRPr="00561642">
        <w:rPr>
          <w:rFonts w:ascii="Times New Roman" w:eastAsia="Calibri" w:hAnsi="Times New Roman" w:cs="Times New Roman"/>
          <w:szCs w:val="24"/>
        </w:rPr>
        <w:t>r</w:t>
      </w:r>
      <w:r w:rsidRPr="00561642">
        <w:rPr>
          <w:rFonts w:ascii="Times New Roman" w:eastAsia="Calibri" w:hAnsi="Times New Roman" w:cs="Times New Roman"/>
          <w:szCs w:val="24"/>
        </w:rPr>
        <w:t xml:space="preserve"> informações para a el</w:t>
      </w:r>
      <w:r w:rsidR="00075943" w:rsidRPr="00561642">
        <w:rPr>
          <w:rFonts w:ascii="Times New Roman" w:eastAsia="Calibri" w:hAnsi="Times New Roman" w:cs="Times New Roman"/>
          <w:szCs w:val="24"/>
        </w:rPr>
        <w:t>aboração do Termo de Referência.</w:t>
      </w:r>
    </w:p>
    <w:tbl>
      <w:tblPr>
        <w:tblW w:w="0" w:type="auto"/>
        <w:jc w:val="center"/>
        <w:tblInd w:w="-267" w:type="dxa"/>
        <w:tblLayout w:type="fixed"/>
        <w:tblLook w:val="0000" w:firstRow="0" w:lastRow="0" w:firstColumn="0" w:lastColumn="0" w:noHBand="0" w:noVBand="0"/>
      </w:tblPr>
      <w:tblGrid>
        <w:gridCol w:w="3216"/>
        <w:gridCol w:w="6333"/>
      </w:tblGrid>
      <w:tr w:rsidR="00CE6600" w:rsidRPr="00561642" w14:paraId="02679676" w14:textId="77777777" w:rsidTr="00561642">
        <w:trPr>
          <w:trHeight w:val="416"/>
          <w:jc w:val="center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958DA4" w14:textId="17706C3C" w:rsidR="00CE6600" w:rsidRPr="00561642" w:rsidRDefault="00CE6600" w:rsidP="00BC2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ETP n.º </w:t>
            </w:r>
            <w:r w:rsidR="00BC23DF"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XX</w:t>
            </w:r>
            <w:r w:rsidR="00561642"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/</w:t>
            </w:r>
            <w:r w:rsidR="00853BA9"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2025</w:t>
            </w:r>
          </w:p>
        </w:tc>
      </w:tr>
      <w:tr w:rsidR="00CE6600" w:rsidRPr="00561642" w14:paraId="4BE96F81" w14:textId="77777777" w:rsidTr="009265B0">
        <w:trPr>
          <w:trHeight w:val="582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E417" w14:textId="77777777" w:rsidR="00CE6600" w:rsidRPr="00561642" w:rsidRDefault="00CE6600" w:rsidP="00CE6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</w:rPr>
              <w:t>Órgão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1B2D" w14:textId="71EBC0F5" w:rsidR="00CE6600" w:rsidRPr="00561642" w:rsidRDefault="00BC23DF" w:rsidP="00CE66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PREFEITURA MUNICIPAL DE XXXX</w:t>
            </w:r>
          </w:p>
        </w:tc>
      </w:tr>
      <w:tr w:rsidR="00CE6600" w:rsidRPr="00561642" w14:paraId="12C4C1EB" w14:textId="77777777" w:rsidTr="009265B0">
        <w:trPr>
          <w:trHeight w:val="582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7FC1" w14:textId="77777777" w:rsidR="00CE6600" w:rsidRPr="00561642" w:rsidRDefault="00CE6600" w:rsidP="00CE6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</w:rPr>
              <w:t>Equipe Responsável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88B2" w14:textId="77777777" w:rsidR="00CE6600" w:rsidRPr="00561642" w:rsidRDefault="00BC23DF" w:rsidP="00CE6600">
            <w:pPr>
              <w:spacing w:after="0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61642">
              <w:rPr>
                <w:rFonts w:ascii="Times New Roman" w:hAnsi="Times New Roman" w:cs="Times New Roman"/>
                <w:szCs w:val="24"/>
                <w:highlight w:val="yellow"/>
              </w:rPr>
              <w:t>Empregado A</w:t>
            </w:r>
          </w:p>
          <w:p w14:paraId="27EE82C3" w14:textId="77777777" w:rsidR="00BC23DF" w:rsidRPr="00561642" w:rsidRDefault="00BC23DF" w:rsidP="00CE6600">
            <w:pPr>
              <w:spacing w:after="0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61642">
              <w:rPr>
                <w:rFonts w:ascii="Times New Roman" w:hAnsi="Times New Roman" w:cs="Times New Roman"/>
                <w:szCs w:val="24"/>
                <w:highlight w:val="yellow"/>
              </w:rPr>
              <w:t>Empregado B</w:t>
            </w:r>
          </w:p>
          <w:p w14:paraId="7797B9ED" w14:textId="51860211" w:rsidR="00BC23DF" w:rsidRPr="00561642" w:rsidRDefault="00BC23DF" w:rsidP="00CE660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61642">
              <w:rPr>
                <w:rFonts w:ascii="Times New Roman" w:hAnsi="Times New Roman" w:cs="Times New Roman"/>
                <w:szCs w:val="24"/>
                <w:highlight w:val="yellow"/>
              </w:rPr>
              <w:t>Empregado C</w:t>
            </w:r>
          </w:p>
        </w:tc>
      </w:tr>
      <w:tr w:rsidR="00CE6600" w:rsidRPr="00561642" w14:paraId="1314DD35" w14:textId="77777777" w:rsidTr="009265B0">
        <w:trPr>
          <w:trHeight w:val="582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21ED" w14:textId="4632F758" w:rsidR="00CE6600" w:rsidRPr="00561642" w:rsidRDefault="00CE6600" w:rsidP="00CE6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</w:rPr>
              <w:t>Objeto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3480" w14:textId="28769197" w:rsidR="00CE6600" w:rsidRPr="00561642" w:rsidRDefault="00CE6600" w:rsidP="00BC23D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61642">
              <w:rPr>
                <w:rFonts w:ascii="Times New Roman" w:hAnsi="Times New Roman" w:cs="Times New Roman"/>
                <w:szCs w:val="24"/>
              </w:rPr>
              <w:t>Contratação de empresa para a execução de serviços técnicos, administrativos e jurídicos necessários para promover a regularização fundiária de interesse social da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(</w:t>
            </w:r>
            <w:r w:rsidRPr="00561642">
              <w:rPr>
                <w:rFonts w:ascii="Times New Roman" w:hAnsi="Times New Roman" w:cs="Times New Roman"/>
                <w:szCs w:val="24"/>
              </w:rPr>
              <w:t>s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)</w:t>
            </w:r>
            <w:r w:rsidRPr="00561642">
              <w:rPr>
                <w:rFonts w:ascii="Times New Roman" w:hAnsi="Times New Roman" w:cs="Times New Roman"/>
                <w:szCs w:val="24"/>
              </w:rPr>
              <w:t xml:space="preserve"> área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(</w:t>
            </w:r>
            <w:r w:rsidRPr="00561642">
              <w:rPr>
                <w:rFonts w:ascii="Times New Roman" w:hAnsi="Times New Roman" w:cs="Times New Roman"/>
                <w:szCs w:val="24"/>
              </w:rPr>
              <w:t>s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)</w:t>
            </w:r>
            <w:r w:rsidRPr="00561642">
              <w:rPr>
                <w:rFonts w:ascii="Times New Roman" w:hAnsi="Times New Roman" w:cs="Times New Roman"/>
                <w:szCs w:val="24"/>
              </w:rPr>
              <w:t xml:space="preserve"> localizada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(</w:t>
            </w:r>
            <w:r w:rsidRPr="00561642">
              <w:rPr>
                <w:rFonts w:ascii="Times New Roman" w:hAnsi="Times New Roman" w:cs="Times New Roman"/>
                <w:szCs w:val="24"/>
              </w:rPr>
              <w:t>s</w:t>
            </w:r>
            <w:r w:rsidR="00BC23DF" w:rsidRPr="00561642">
              <w:rPr>
                <w:rFonts w:ascii="Times New Roman" w:hAnsi="Times New Roman" w:cs="Times New Roman"/>
                <w:szCs w:val="24"/>
              </w:rPr>
              <w:t>)</w:t>
            </w:r>
            <w:r w:rsidRPr="00561642">
              <w:rPr>
                <w:rFonts w:ascii="Times New Roman" w:hAnsi="Times New Roman" w:cs="Times New Roman"/>
                <w:szCs w:val="24"/>
              </w:rPr>
              <w:t xml:space="preserve"> no município de </w:t>
            </w:r>
            <w:r w:rsidR="00BC23DF" w:rsidRPr="00561642">
              <w:rPr>
                <w:rFonts w:ascii="Times New Roman" w:hAnsi="Times New Roman" w:cs="Times New Roman"/>
                <w:szCs w:val="24"/>
                <w:highlight w:val="yellow"/>
              </w:rPr>
              <w:t>XXXXXX</w:t>
            </w:r>
            <w:r w:rsidRPr="00561642">
              <w:rPr>
                <w:rFonts w:ascii="Times New Roman" w:hAnsi="Times New Roman" w:cs="Times New Roman"/>
                <w:szCs w:val="24"/>
              </w:rPr>
              <w:t xml:space="preserve"> no Estado do Paraná.</w:t>
            </w:r>
          </w:p>
        </w:tc>
      </w:tr>
      <w:tr w:rsidR="00CE6600" w:rsidRPr="00561642" w14:paraId="53B78857" w14:textId="77777777" w:rsidTr="009265B0">
        <w:trPr>
          <w:trHeight w:val="463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F167" w14:textId="77777777" w:rsidR="00CE6600" w:rsidRPr="00561642" w:rsidRDefault="00CE6600" w:rsidP="00CE66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</w:rPr>
              <w:t>Número do Protocolo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CA45" w14:textId="373A959F" w:rsidR="00CE6600" w:rsidRPr="00561642" w:rsidRDefault="00BC23DF" w:rsidP="00CE66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szCs w:val="24"/>
                <w:highlight w:val="yellow"/>
              </w:rPr>
              <w:t>XX.</w:t>
            </w:r>
            <w:proofErr w:type="gramEnd"/>
            <w:r w:rsidRPr="00561642">
              <w:rPr>
                <w:rFonts w:ascii="Times New Roman" w:eastAsia="Arial" w:hAnsi="Times New Roman" w:cs="Times New Roman"/>
                <w:szCs w:val="24"/>
                <w:highlight w:val="yellow"/>
              </w:rPr>
              <w:t>XXX.XXX-X</w:t>
            </w:r>
          </w:p>
        </w:tc>
      </w:tr>
    </w:tbl>
    <w:p w14:paraId="42F65230" w14:textId="77777777" w:rsidR="00CE6600" w:rsidRPr="00561642" w:rsidRDefault="00CE6600" w:rsidP="00CE6600">
      <w:p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Style w:val="Tabelacomgrade1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CE6600" w:rsidRPr="00561642" w14:paraId="07B82D8C" w14:textId="77777777" w:rsidTr="00561642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7EBBDA71" w14:textId="77777777" w:rsidR="00CE6600" w:rsidRPr="00561642" w:rsidRDefault="00CE6600" w:rsidP="00CE6600">
            <w:pPr>
              <w:suppressAutoHyphens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1642">
              <w:rPr>
                <w:rFonts w:eastAsia="Calibri"/>
                <w:b/>
                <w:sz w:val="24"/>
                <w:szCs w:val="24"/>
              </w:rPr>
              <w:t>CLASSIFICAÇÃO E NATUREZA DO OBJETO</w:t>
            </w:r>
          </w:p>
        </w:tc>
      </w:tr>
      <w:tr w:rsidR="00CE6600" w:rsidRPr="00561642" w14:paraId="567D7503" w14:textId="77777777" w:rsidTr="00561642">
        <w:tc>
          <w:tcPr>
            <w:tcW w:w="4394" w:type="dxa"/>
            <w:vAlign w:val="center"/>
          </w:tcPr>
          <w:p w14:paraId="3FB7F727" w14:textId="393BE37A" w:rsidR="00CE6600" w:rsidRPr="00561642" w:rsidRDefault="009265B0" w:rsidP="009265B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 xml:space="preserve">Objeto: obra ou serviço </w:t>
            </w:r>
            <w:r w:rsidR="00CE6600" w:rsidRPr="00561642">
              <w:rPr>
                <w:rFonts w:eastAsia="Calibri"/>
                <w:sz w:val="24"/>
                <w:szCs w:val="24"/>
              </w:rPr>
              <w:t>de engenharia</w:t>
            </w:r>
          </w:p>
        </w:tc>
        <w:tc>
          <w:tcPr>
            <w:tcW w:w="5245" w:type="dxa"/>
            <w:vAlign w:val="center"/>
          </w:tcPr>
          <w:p w14:paraId="0F915BDA" w14:textId="5A115922" w:rsidR="00CE6600" w:rsidRPr="00561642" w:rsidRDefault="00CE6600" w:rsidP="00561642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S</w:t>
            </w:r>
            <w:r w:rsidR="00561642">
              <w:rPr>
                <w:rFonts w:eastAsia="Calibri"/>
                <w:sz w:val="24"/>
                <w:szCs w:val="24"/>
              </w:rPr>
              <w:t>im</w:t>
            </w:r>
          </w:p>
        </w:tc>
      </w:tr>
      <w:tr w:rsidR="00CE6600" w:rsidRPr="00561642" w14:paraId="3C4973D5" w14:textId="77777777" w:rsidTr="00561642">
        <w:tc>
          <w:tcPr>
            <w:tcW w:w="4394" w:type="dxa"/>
            <w:vAlign w:val="center"/>
          </w:tcPr>
          <w:p w14:paraId="25FEE47C" w14:textId="173E74C0" w:rsidR="00CE6600" w:rsidRPr="00561642" w:rsidRDefault="00CE6600" w:rsidP="009265B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 xml:space="preserve">Serviço ou </w:t>
            </w:r>
            <w:r w:rsidR="009265B0" w:rsidRPr="00561642">
              <w:rPr>
                <w:rFonts w:eastAsia="Calibri"/>
                <w:sz w:val="24"/>
                <w:szCs w:val="24"/>
              </w:rPr>
              <w:t>obra</w:t>
            </w:r>
          </w:p>
        </w:tc>
        <w:tc>
          <w:tcPr>
            <w:tcW w:w="5245" w:type="dxa"/>
            <w:vAlign w:val="center"/>
          </w:tcPr>
          <w:p w14:paraId="3E902E35" w14:textId="4A26C69F" w:rsidR="00CE6600" w:rsidRPr="00561642" w:rsidRDefault="00CE660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Serviço</w:t>
            </w:r>
          </w:p>
        </w:tc>
      </w:tr>
      <w:tr w:rsidR="009265B0" w:rsidRPr="00561642" w14:paraId="13210249" w14:textId="77777777" w:rsidTr="00561642">
        <w:tc>
          <w:tcPr>
            <w:tcW w:w="4394" w:type="dxa"/>
            <w:vAlign w:val="center"/>
          </w:tcPr>
          <w:p w14:paraId="67A71CF8" w14:textId="11405838" w:rsidR="009265B0" w:rsidRPr="00561642" w:rsidRDefault="009265B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Especializado ou comum</w:t>
            </w:r>
          </w:p>
        </w:tc>
        <w:tc>
          <w:tcPr>
            <w:tcW w:w="5245" w:type="dxa"/>
            <w:vAlign w:val="center"/>
          </w:tcPr>
          <w:p w14:paraId="110F4D9C" w14:textId="4AB95A8F" w:rsidR="009265B0" w:rsidRPr="00561642" w:rsidRDefault="009265B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Comum</w:t>
            </w:r>
          </w:p>
        </w:tc>
      </w:tr>
      <w:tr w:rsidR="00CE6600" w:rsidRPr="00561642" w14:paraId="2F7C0D2E" w14:textId="77777777" w:rsidTr="00561642">
        <w:tc>
          <w:tcPr>
            <w:tcW w:w="4394" w:type="dxa"/>
            <w:vAlign w:val="center"/>
          </w:tcPr>
          <w:p w14:paraId="68ED7E47" w14:textId="77777777" w:rsidR="00CE6600" w:rsidRPr="00561642" w:rsidRDefault="00CE660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Natureza da Prestação Continuada</w:t>
            </w:r>
          </w:p>
        </w:tc>
        <w:tc>
          <w:tcPr>
            <w:tcW w:w="5245" w:type="dxa"/>
            <w:vAlign w:val="center"/>
          </w:tcPr>
          <w:p w14:paraId="7A126A11" w14:textId="62BC98AE" w:rsidR="00CE6600" w:rsidRPr="00561642" w:rsidRDefault="00BC23DF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N</w:t>
            </w:r>
            <w:r w:rsidR="00CE6600" w:rsidRPr="00561642">
              <w:rPr>
                <w:rFonts w:eastAsia="Calibri"/>
                <w:sz w:val="24"/>
                <w:szCs w:val="24"/>
              </w:rPr>
              <w:t>ão</w:t>
            </w:r>
          </w:p>
        </w:tc>
      </w:tr>
      <w:tr w:rsidR="00CE6600" w:rsidRPr="00561642" w14:paraId="4E49B224" w14:textId="77777777" w:rsidTr="00561642">
        <w:tc>
          <w:tcPr>
            <w:tcW w:w="4394" w:type="dxa"/>
          </w:tcPr>
          <w:p w14:paraId="4512730E" w14:textId="77777777" w:rsidR="00CE6600" w:rsidRPr="00561642" w:rsidRDefault="00CE660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Modalidade de Licitação</w:t>
            </w:r>
          </w:p>
        </w:tc>
        <w:tc>
          <w:tcPr>
            <w:tcW w:w="5245" w:type="dxa"/>
          </w:tcPr>
          <w:p w14:paraId="6FD4B5A7" w14:textId="1289F1F8" w:rsidR="00CE6600" w:rsidRPr="00561642" w:rsidRDefault="00CE660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Modo de disputa aberta</w:t>
            </w:r>
          </w:p>
        </w:tc>
      </w:tr>
      <w:tr w:rsidR="00CE6600" w:rsidRPr="00561642" w14:paraId="6464EA0B" w14:textId="77777777" w:rsidTr="00561642">
        <w:tc>
          <w:tcPr>
            <w:tcW w:w="4394" w:type="dxa"/>
          </w:tcPr>
          <w:p w14:paraId="7C43ED42" w14:textId="6C3E7BF7" w:rsidR="00CE6600" w:rsidRPr="00561642" w:rsidRDefault="00CE6600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 xml:space="preserve">Critério de Julgamento </w:t>
            </w:r>
          </w:p>
        </w:tc>
        <w:tc>
          <w:tcPr>
            <w:tcW w:w="5245" w:type="dxa"/>
          </w:tcPr>
          <w:p w14:paraId="54F2098B" w14:textId="1DA2C3DD" w:rsidR="00CE6600" w:rsidRPr="00561642" w:rsidRDefault="00B82243" w:rsidP="00CE6600">
            <w:pPr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561642">
              <w:rPr>
                <w:rFonts w:eastAsia="Calibri"/>
                <w:sz w:val="24"/>
                <w:szCs w:val="24"/>
              </w:rPr>
              <w:t>Maior desconto</w:t>
            </w:r>
          </w:p>
        </w:tc>
      </w:tr>
    </w:tbl>
    <w:p w14:paraId="2516391F" w14:textId="77777777" w:rsidR="00CE6600" w:rsidRPr="00561642" w:rsidRDefault="00CE6600" w:rsidP="002D4F8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8F1878" w14:textId="4A27AFDF" w:rsidR="00082CF7" w:rsidRPr="00561642" w:rsidRDefault="00BC23DF" w:rsidP="002D4F8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Em atendimento a L</w:t>
      </w:r>
      <w:r w:rsidR="00075943" w:rsidRPr="00561642">
        <w:rPr>
          <w:rFonts w:ascii="Times New Roman" w:hAnsi="Times New Roman" w:cs="Times New Roman"/>
          <w:szCs w:val="24"/>
        </w:rPr>
        <w:t>ei n</w:t>
      </w:r>
      <w:r w:rsidRPr="00561642">
        <w:rPr>
          <w:rFonts w:ascii="Times New Roman" w:hAnsi="Times New Roman" w:cs="Times New Roman"/>
          <w:szCs w:val="24"/>
        </w:rPr>
        <w:t>º 14.133/2021</w:t>
      </w:r>
      <w:r w:rsidR="004E0A1B" w:rsidRPr="00561642">
        <w:rPr>
          <w:rFonts w:ascii="Times New Roman" w:hAnsi="Times New Roman" w:cs="Times New Roman"/>
          <w:szCs w:val="24"/>
        </w:rPr>
        <w:t xml:space="preserve"> de Licitações e Contratos </w:t>
      </w:r>
      <w:r w:rsidRPr="00561642">
        <w:rPr>
          <w:rFonts w:ascii="Times New Roman" w:hAnsi="Times New Roman" w:cs="Times New Roman"/>
          <w:szCs w:val="24"/>
        </w:rPr>
        <w:t xml:space="preserve">Administrativos </w:t>
      </w:r>
      <w:proofErr w:type="gramStart"/>
      <w:r w:rsidR="004E0A1B" w:rsidRPr="00561642">
        <w:rPr>
          <w:rFonts w:ascii="Times New Roman" w:hAnsi="Times New Roman" w:cs="Times New Roman"/>
          <w:szCs w:val="24"/>
        </w:rPr>
        <w:t>informamos</w:t>
      </w:r>
      <w:proofErr w:type="gramEnd"/>
      <w:r w:rsidR="004E0A1B" w:rsidRPr="00561642">
        <w:rPr>
          <w:rFonts w:ascii="Times New Roman" w:hAnsi="Times New Roman" w:cs="Times New Roman"/>
          <w:szCs w:val="24"/>
        </w:rPr>
        <w:t>:</w:t>
      </w:r>
    </w:p>
    <w:p w14:paraId="1D08BDFB" w14:textId="77777777" w:rsidR="004E0A1B" w:rsidRPr="00561642" w:rsidRDefault="004E0A1B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Necessidade da Contratação: </w:t>
      </w:r>
    </w:p>
    <w:p w14:paraId="2985039B" w14:textId="17A1D2E1" w:rsidR="00050A7A" w:rsidRPr="00561642" w:rsidRDefault="004E0A1B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A Etapa de Formalização da Demanda</w:t>
      </w:r>
      <w:r w:rsidR="00183B06" w:rsidRPr="00561642">
        <w:rPr>
          <w:rFonts w:ascii="Times New Roman" w:eastAsia="Arial" w:hAnsi="Times New Roman" w:cs="Times New Roman"/>
          <w:szCs w:val="24"/>
        </w:rPr>
        <w:t xml:space="preserve">, firmada pelo </w:t>
      </w:r>
      <w:r w:rsidR="00BC23DF" w:rsidRPr="00561642">
        <w:rPr>
          <w:rFonts w:ascii="Times New Roman" w:eastAsia="Arial" w:hAnsi="Times New Roman" w:cs="Times New Roman"/>
          <w:szCs w:val="24"/>
        </w:rPr>
        <w:t xml:space="preserve">Poder Público </w:t>
      </w:r>
      <w:r w:rsidR="008023A8" w:rsidRPr="00561642">
        <w:rPr>
          <w:rFonts w:ascii="Times New Roman" w:eastAsia="Arial" w:hAnsi="Times New Roman" w:cs="Times New Roman"/>
          <w:szCs w:val="24"/>
        </w:rPr>
        <w:t>Municipal</w:t>
      </w:r>
      <w:r w:rsidR="00183B06" w:rsidRPr="00561642">
        <w:rPr>
          <w:rFonts w:ascii="Times New Roman" w:eastAsia="Arial" w:hAnsi="Times New Roman" w:cs="Times New Roman"/>
          <w:szCs w:val="24"/>
        </w:rPr>
        <w:t xml:space="preserve">, culminou com a designação da Comissão Especial para realização de Estudos Preliminares, por meio do ato n° </w:t>
      </w:r>
      <w:proofErr w:type="spellStart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xx</w:t>
      </w:r>
      <w:proofErr w:type="spellEnd"/>
      <w:r w:rsidR="00183B06" w:rsidRPr="00561642">
        <w:rPr>
          <w:rFonts w:ascii="Times New Roman" w:eastAsia="Arial" w:hAnsi="Times New Roman" w:cs="Times New Roman"/>
          <w:szCs w:val="24"/>
          <w:highlight w:val="yellow"/>
        </w:rPr>
        <w:t>/PRE</w:t>
      </w:r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F</w:t>
      </w:r>
      <w:r w:rsidR="00183B06" w:rsidRPr="00561642">
        <w:rPr>
          <w:rFonts w:ascii="Times New Roman" w:eastAsia="Arial" w:hAnsi="Times New Roman" w:cs="Times New Roman"/>
          <w:szCs w:val="24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183B06" w:rsidRPr="00561642">
        <w:rPr>
          <w:rFonts w:ascii="Times New Roman" w:eastAsia="Arial" w:hAnsi="Times New Roman" w:cs="Times New Roman"/>
          <w:szCs w:val="24"/>
        </w:rPr>
        <w:t>que</w:t>
      </w:r>
      <w:r w:rsidR="00561642">
        <w:rPr>
          <w:rFonts w:ascii="Times New Roman" w:eastAsia="Arial" w:hAnsi="Times New Roman" w:cs="Times New Roman"/>
          <w:szCs w:val="24"/>
        </w:rPr>
        <w:t xml:space="preserve"> consta no</w:t>
      </w:r>
      <w:r w:rsidRPr="00561642">
        <w:rPr>
          <w:rFonts w:ascii="Times New Roman" w:eastAsia="Arial" w:hAnsi="Times New Roman" w:cs="Times New Roman"/>
          <w:szCs w:val="24"/>
        </w:rPr>
        <w:t xml:space="preserve"> processo protocolado sob</w:t>
      </w:r>
      <w:r w:rsidR="00561642">
        <w:rPr>
          <w:rFonts w:ascii="Times New Roman" w:eastAsia="Arial" w:hAnsi="Times New Roman" w:cs="Times New Roman"/>
          <w:szCs w:val="24"/>
        </w:rPr>
        <w:t xml:space="preserve"> o</w:t>
      </w:r>
      <w:r w:rsidRPr="00561642">
        <w:rPr>
          <w:rFonts w:ascii="Times New Roman" w:eastAsia="Arial" w:hAnsi="Times New Roman" w:cs="Times New Roman"/>
          <w:szCs w:val="24"/>
        </w:rPr>
        <w:t xml:space="preserve"> nº </w:t>
      </w:r>
      <w:proofErr w:type="gramStart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XX.</w:t>
      </w:r>
      <w:proofErr w:type="gramEnd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XXX.XXX-X</w:t>
      </w:r>
      <w:r w:rsidR="00A815B6">
        <w:rPr>
          <w:rFonts w:ascii="Times New Roman" w:eastAsia="Arial" w:hAnsi="Times New Roman" w:cs="Times New Roman"/>
          <w:szCs w:val="24"/>
        </w:rPr>
        <w:t>.</w:t>
      </w:r>
    </w:p>
    <w:p w14:paraId="23D148F3" w14:textId="6F92CB2F" w:rsidR="004A47B0" w:rsidRPr="00561642" w:rsidRDefault="00050A7A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Como primeira providência, foi aberto o </w:t>
      </w:r>
      <w:r w:rsidR="00925E09" w:rsidRPr="00561642">
        <w:rPr>
          <w:rFonts w:ascii="Times New Roman" w:eastAsia="Arial" w:hAnsi="Times New Roman" w:cs="Times New Roman"/>
          <w:szCs w:val="24"/>
          <w:highlight w:val="yellow"/>
        </w:rPr>
        <w:t>protocolo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 xml:space="preserve"> n°</w:t>
      </w:r>
      <w:r w:rsidR="00075943" w:rsidRPr="00561642">
        <w:rPr>
          <w:rFonts w:ascii="Times New Roman" w:eastAsia="Arial" w:hAnsi="Times New Roman" w:cs="Times New Roman"/>
          <w:szCs w:val="24"/>
          <w:highlight w:val="yellow"/>
        </w:rPr>
        <w:t xml:space="preserve"> </w:t>
      </w:r>
      <w:proofErr w:type="spellStart"/>
      <w:proofErr w:type="gramStart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xx.</w:t>
      </w:r>
      <w:proofErr w:type="gramEnd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xxx.xxx</w:t>
      </w:r>
      <w:proofErr w:type="spellEnd"/>
      <w:r w:rsidR="00BC23DF" w:rsidRPr="00561642">
        <w:rPr>
          <w:rFonts w:ascii="Times New Roman" w:eastAsia="Arial" w:hAnsi="Times New Roman" w:cs="Times New Roman"/>
          <w:szCs w:val="24"/>
          <w:highlight w:val="yellow"/>
        </w:rPr>
        <w:t>-x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no qual foram inseridos os documentos necessários para a instrução do processo de construção da fase de planejamento da </w:t>
      </w:r>
      <w:r w:rsidRPr="00561642">
        <w:rPr>
          <w:rFonts w:ascii="Times New Roman" w:eastAsia="Arial" w:hAnsi="Times New Roman" w:cs="Times New Roman"/>
          <w:szCs w:val="24"/>
        </w:rPr>
        <w:lastRenderedPageBreak/>
        <w:t xml:space="preserve">contratação. </w:t>
      </w:r>
    </w:p>
    <w:p w14:paraId="4F5794C5" w14:textId="78A568F2" w:rsidR="004A47B0" w:rsidRPr="00561642" w:rsidRDefault="004A47B0" w:rsidP="002D4F81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Nos termos da Lei n° 13.465, de 11 de julho de 2017, os procedimentos aplicáveis à Regularização Fundiária Urbana destinam-se à incorporação dos núcleos urbanos informais ao ordenamento territorial urbano e à titulação de seus ocupantes.</w:t>
      </w:r>
    </w:p>
    <w:p w14:paraId="22ED069A" w14:textId="129BA8BF" w:rsidR="004A47B0" w:rsidRPr="00561642" w:rsidRDefault="004A47B0" w:rsidP="002D4F81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Trata-se, portanto, primeiramente, de política pública de planejamento urbano, por meio de adequações urbanísticas e ambientais, mas, sobretudo, de mecanismo para efetivação do direito à moradia digna, propiciando segurança jurídica e cidadania aos seus beneficiários.</w:t>
      </w:r>
    </w:p>
    <w:p w14:paraId="2A9F09FC" w14:textId="1BF06904" w:rsidR="004A47B0" w:rsidRPr="00561642" w:rsidRDefault="00075943" w:rsidP="002D4F81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Desta forma, considerando a demanda de aproximadamente </w:t>
      </w:r>
      <w:proofErr w:type="spellStart"/>
      <w:r w:rsidRPr="00561642">
        <w:rPr>
          <w:rFonts w:ascii="Times New Roman" w:eastAsia="Arial" w:hAnsi="Times New Roman" w:cs="Times New Roman"/>
          <w:szCs w:val="24"/>
          <w:highlight w:val="yellow"/>
        </w:rPr>
        <w:t>xxxxx</w:t>
      </w:r>
      <w:proofErr w:type="spellEnd"/>
      <w:r w:rsidRPr="00561642">
        <w:rPr>
          <w:rFonts w:ascii="Times New Roman" w:eastAsia="Arial" w:hAnsi="Times New Roman" w:cs="Times New Roman"/>
          <w:szCs w:val="24"/>
        </w:rPr>
        <w:t xml:space="preserve"> lotes irregulares nesta municipalidade e a necessidade de se promover políticas de incorporação destes núcleos ao ordenamento territorial urbano</w:t>
      </w:r>
      <w:r w:rsidR="00D078FC" w:rsidRPr="00561642">
        <w:rPr>
          <w:rFonts w:ascii="Times New Roman" w:eastAsia="Arial" w:hAnsi="Times New Roman" w:cs="Times New Roman"/>
          <w:szCs w:val="24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a execução de iniciativas como esta são fundamentais para</w:t>
      </w:r>
      <w:r w:rsidR="00D078FC" w:rsidRPr="00561642">
        <w:rPr>
          <w:rFonts w:ascii="Times New Roman" w:eastAsia="Arial" w:hAnsi="Times New Roman" w:cs="Times New Roman"/>
          <w:szCs w:val="24"/>
        </w:rPr>
        <w:t xml:space="preserve"> promover a</w:t>
      </w:r>
      <w:r w:rsidRPr="00561642">
        <w:rPr>
          <w:rFonts w:ascii="Times New Roman" w:eastAsia="Arial" w:hAnsi="Times New Roman" w:cs="Times New Roman"/>
          <w:szCs w:val="24"/>
        </w:rPr>
        <w:t xml:space="preserve"> segurança jurídica das famílias ocupantes de tais localidades. </w:t>
      </w:r>
    </w:p>
    <w:p w14:paraId="686D596B" w14:textId="755A7AD8" w:rsidR="000F4B17" w:rsidRPr="00561642" w:rsidRDefault="004A47B0" w:rsidP="00B3401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Neste sentido, considerando que o Programa </w:t>
      </w:r>
      <w:r w:rsidR="00B34013" w:rsidRPr="00561642">
        <w:rPr>
          <w:rFonts w:ascii="Times New Roman" w:eastAsia="Arial" w:hAnsi="Times New Roman" w:cs="Times New Roman"/>
          <w:szCs w:val="24"/>
        </w:rPr>
        <w:t xml:space="preserve">Paraná </w:t>
      </w:r>
      <w:r w:rsidR="00D078FC" w:rsidRPr="00561642">
        <w:rPr>
          <w:rFonts w:ascii="Times New Roman" w:eastAsia="Arial" w:hAnsi="Times New Roman" w:cs="Times New Roman"/>
          <w:szCs w:val="24"/>
        </w:rPr>
        <w:t xml:space="preserve">Regularizado do Estado do Paraná destina recursos </w:t>
      </w:r>
      <w:r w:rsidRPr="00561642">
        <w:rPr>
          <w:rFonts w:ascii="Times New Roman" w:eastAsia="Arial" w:hAnsi="Times New Roman" w:cs="Times New Roman"/>
          <w:szCs w:val="24"/>
        </w:rPr>
        <w:t>para o atendimento dos núcleos habitacionais ocupados predominan</w:t>
      </w:r>
      <w:r w:rsidR="00F15917">
        <w:rPr>
          <w:rFonts w:ascii="Times New Roman" w:eastAsia="Arial" w:hAnsi="Times New Roman" w:cs="Times New Roman"/>
          <w:szCs w:val="24"/>
        </w:rPr>
        <w:t xml:space="preserve">temente por famílias com renda </w:t>
      </w:r>
      <w:r w:rsidRPr="00561642">
        <w:rPr>
          <w:rFonts w:ascii="Times New Roman" w:eastAsia="Arial" w:hAnsi="Times New Roman" w:cs="Times New Roman"/>
          <w:szCs w:val="24"/>
        </w:rPr>
        <w:t xml:space="preserve">de até </w:t>
      </w:r>
      <w:proofErr w:type="gramStart"/>
      <w:r w:rsidRPr="00561642">
        <w:rPr>
          <w:rFonts w:ascii="Times New Roman" w:eastAsia="Arial" w:hAnsi="Times New Roman" w:cs="Times New Roman"/>
          <w:szCs w:val="24"/>
        </w:rPr>
        <w:t>3</w:t>
      </w:r>
      <w:proofErr w:type="gramEnd"/>
      <w:r w:rsidRPr="00561642">
        <w:rPr>
          <w:rFonts w:ascii="Times New Roman" w:eastAsia="Arial" w:hAnsi="Times New Roman" w:cs="Times New Roman"/>
          <w:szCs w:val="24"/>
        </w:rPr>
        <w:t xml:space="preserve"> (três) salários mínimos, </w:t>
      </w:r>
      <w:r w:rsidR="000F4B17" w:rsidRPr="00561642">
        <w:rPr>
          <w:rFonts w:ascii="Times New Roman" w:eastAsia="Arial" w:hAnsi="Times New Roman" w:cs="Times New Roman"/>
          <w:szCs w:val="24"/>
        </w:rPr>
        <w:t>o município f</w:t>
      </w:r>
      <w:r w:rsidR="003C132E" w:rsidRPr="00561642">
        <w:rPr>
          <w:rFonts w:ascii="Times New Roman" w:eastAsia="Arial" w:hAnsi="Times New Roman" w:cs="Times New Roman"/>
          <w:szCs w:val="24"/>
        </w:rPr>
        <w:t xml:space="preserve">irmou </w:t>
      </w:r>
      <w:r w:rsidR="00B34013" w:rsidRPr="00561642">
        <w:rPr>
          <w:rFonts w:ascii="Times New Roman" w:eastAsia="Arial" w:hAnsi="Times New Roman" w:cs="Times New Roman"/>
          <w:szCs w:val="24"/>
        </w:rPr>
        <w:t xml:space="preserve">o </w:t>
      </w:r>
      <w:r w:rsidR="00A815B6">
        <w:rPr>
          <w:rFonts w:ascii="Times New Roman" w:eastAsia="Arial" w:hAnsi="Times New Roman" w:cs="Times New Roman"/>
          <w:szCs w:val="24"/>
          <w:highlight w:val="yellow"/>
        </w:rPr>
        <w:t>C</w:t>
      </w:r>
      <w:r w:rsidR="003C132E" w:rsidRPr="00561642">
        <w:rPr>
          <w:rFonts w:ascii="Times New Roman" w:eastAsia="Arial" w:hAnsi="Times New Roman" w:cs="Times New Roman"/>
          <w:szCs w:val="24"/>
          <w:highlight w:val="yellow"/>
        </w:rPr>
        <w:t>onvênio</w:t>
      </w:r>
      <w:r w:rsidR="00B34013" w:rsidRPr="00561642">
        <w:rPr>
          <w:rFonts w:ascii="Times New Roman" w:eastAsia="Arial" w:hAnsi="Times New Roman" w:cs="Times New Roman"/>
          <w:szCs w:val="24"/>
          <w:highlight w:val="yellow"/>
        </w:rPr>
        <w:t xml:space="preserve"> nº </w:t>
      </w:r>
      <w:proofErr w:type="spellStart"/>
      <w:r w:rsidR="00B34013" w:rsidRPr="00561642">
        <w:rPr>
          <w:rFonts w:ascii="Times New Roman" w:eastAsia="Arial" w:hAnsi="Times New Roman" w:cs="Times New Roman"/>
          <w:szCs w:val="24"/>
          <w:highlight w:val="yellow"/>
        </w:rPr>
        <w:t>xxxx</w:t>
      </w:r>
      <w:proofErr w:type="spellEnd"/>
      <w:r w:rsidR="003C132E" w:rsidRPr="00561642">
        <w:rPr>
          <w:rFonts w:ascii="Times New Roman" w:eastAsia="Arial" w:hAnsi="Times New Roman" w:cs="Times New Roman"/>
          <w:szCs w:val="24"/>
        </w:rPr>
        <w:t xml:space="preserve"> com a </w:t>
      </w:r>
      <w:r w:rsidR="00D375FD">
        <w:rPr>
          <w:rFonts w:ascii="Times New Roman" w:eastAsia="Arial" w:hAnsi="Times New Roman" w:cs="Times New Roman"/>
          <w:szCs w:val="24"/>
        </w:rPr>
        <w:t>COHAPAR</w:t>
      </w:r>
      <w:r w:rsidR="003C132E" w:rsidRPr="00561642">
        <w:rPr>
          <w:rFonts w:ascii="Times New Roman" w:eastAsia="Arial" w:hAnsi="Times New Roman" w:cs="Times New Roman"/>
          <w:szCs w:val="24"/>
        </w:rPr>
        <w:t xml:space="preserve"> para </w:t>
      </w:r>
      <w:r w:rsidR="006704C3" w:rsidRPr="00561642">
        <w:rPr>
          <w:rFonts w:ascii="Times New Roman" w:eastAsia="Arial" w:hAnsi="Times New Roman" w:cs="Times New Roman"/>
          <w:szCs w:val="24"/>
        </w:rPr>
        <w:t>a regularização do</w:t>
      </w:r>
      <w:r w:rsidR="00B34013" w:rsidRPr="00561642">
        <w:rPr>
          <w:rFonts w:ascii="Times New Roman" w:eastAsia="Arial" w:hAnsi="Times New Roman" w:cs="Times New Roman"/>
          <w:szCs w:val="24"/>
        </w:rPr>
        <w:t>(</w:t>
      </w:r>
      <w:r w:rsidR="006704C3" w:rsidRPr="00561642">
        <w:rPr>
          <w:rFonts w:ascii="Times New Roman" w:eastAsia="Arial" w:hAnsi="Times New Roman" w:cs="Times New Roman"/>
          <w:szCs w:val="24"/>
        </w:rPr>
        <w:t>s</w:t>
      </w:r>
      <w:r w:rsidR="00B34013" w:rsidRPr="00561642">
        <w:rPr>
          <w:rFonts w:ascii="Times New Roman" w:eastAsia="Arial" w:hAnsi="Times New Roman" w:cs="Times New Roman"/>
          <w:szCs w:val="24"/>
        </w:rPr>
        <w:t>)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 núcleo</w:t>
      </w:r>
      <w:r w:rsidR="00B34013" w:rsidRPr="00561642">
        <w:rPr>
          <w:rFonts w:ascii="Times New Roman" w:eastAsia="Arial" w:hAnsi="Times New Roman" w:cs="Times New Roman"/>
          <w:szCs w:val="24"/>
        </w:rPr>
        <w:t>(</w:t>
      </w:r>
      <w:r w:rsidR="006704C3" w:rsidRPr="00561642">
        <w:rPr>
          <w:rFonts w:ascii="Times New Roman" w:eastAsia="Arial" w:hAnsi="Times New Roman" w:cs="Times New Roman"/>
          <w:szCs w:val="24"/>
        </w:rPr>
        <w:t>s</w:t>
      </w:r>
      <w:r w:rsidR="00B34013" w:rsidRPr="00561642">
        <w:rPr>
          <w:rFonts w:ascii="Times New Roman" w:eastAsia="Arial" w:hAnsi="Times New Roman" w:cs="Times New Roman"/>
          <w:szCs w:val="24"/>
        </w:rPr>
        <w:t>)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 urbano</w:t>
      </w:r>
      <w:r w:rsidR="00B34013" w:rsidRPr="00561642">
        <w:rPr>
          <w:rFonts w:ascii="Times New Roman" w:eastAsia="Arial" w:hAnsi="Times New Roman" w:cs="Times New Roman"/>
          <w:szCs w:val="24"/>
        </w:rPr>
        <w:t>(</w:t>
      </w:r>
      <w:r w:rsidR="006704C3" w:rsidRPr="00561642">
        <w:rPr>
          <w:rFonts w:ascii="Times New Roman" w:eastAsia="Arial" w:hAnsi="Times New Roman" w:cs="Times New Roman"/>
          <w:szCs w:val="24"/>
        </w:rPr>
        <w:t>s</w:t>
      </w:r>
      <w:r w:rsidR="00B34013" w:rsidRPr="00561642">
        <w:rPr>
          <w:rFonts w:ascii="Times New Roman" w:eastAsia="Arial" w:hAnsi="Times New Roman" w:cs="Times New Roman"/>
          <w:szCs w:val="24"/>
        </w:rPr>
        <w:t>)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 irregular</w:t>
      </w:r>
      <w:r w:rsidR="00B34013" w:rsidRPr="00561642">
        <w:rPr>
          <w:rFonts w:ascii="Times New Roman" w:eastAsia="Arial" w:hAnsi="Times New Roman" w:cs="Times New Roman"/>
          <w:szCs w:val="24"/>
        </w:rPr>
        <w:t>(</w:t>
      </w:r>
      <w:r w:rsidR="006704C3" w:rsidRPr="00561642">
        <w:rPr>
          <w:rFonts w:ascii="Times New Roman" w:eastAsia="Arial" w:hAnsi="Times New Roman" w:cs="Times New Roman"/>
          <w:szCs w:val="24"/>
        </w:rPr>
        <w:t>es</w:t>
      </w:r>
      <w:r w:rsidR="00B34013" w:rsidRPr="00561642">
        <w:rPr>
          <w:rFonts w:ascii="Times New Roman" w:eastAsia="Arial" w:hAnsi="Times New Roman" w:cs="Times New Roman"/>
          <w:szCs w:val="24"/>
        </w:rPr>
        <w:t>)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 </w:t>
      </w:r>
      <w:proofErr w:type="spellStart"/>
      <w:r w:rsidR="00B34013" w:rsidRPr="00561642">
        <w:rPr>
          <w:rFonts w:ascii="Times New Roman" w:eastAsia="Arial" w:hAnsi="Times New Roman" w:cs="Times New Roman"/>
          <w:szCs w:val="24"/>
          <w:highlight w:val="yellow"/>
        </w:rPr>
        <w:t>xxxxx</w:t>
      </w:r>
      <w:proofErr w:type="spellEnd"/>
      <w:r w:rsidR="00D078FC" w:rsidRPr="00561642">
        <w:rPr>
          <w:rFonts w:ascii="Times New Roman" w:eastAsia="Arial" w:hAnsi="Times New Roman" w:cs="Times New Roman"/>
          <w:szCs w:val="24"/>
          <w:highlight w:val="yellow"/>
        </w:rPr>
        <w:t>(nome do</w:t>
      </w:r>
      <w:r w:rsidR="00A815B6">
        <w:rPr>
          <w:rFonts w:ascii="Times New Roman" w:eastAsia="Arial" w:hAnsi="Times New Roman" w:cs="Times New Roman"/>
          <w:szCs w:val="24"/>
          <w:highlight w:val="yellow"/>
        </w:rPr>
        <w:t>(s)</w:t>
      </w:r>
      <w:r w:rsidR="00D078FC" w:rsidRPr="00561642">
        <w:rPr>
          <w:rFonts w:ascii="Times New Roman" w:eastAsia="Arial" w:hAnsi="Times New Roman" w:cs="Times New Roman"/>
          <w:szCs w:val="24"/>
          <w:highlight w:val="yellow"/>
        </w:rPr>
        <w:t xml:space="preserve"> núcleo</w:t>
      </w:r>
      <w:r w:rsidR="00A815B6">
        <w:rPr>
          <w:rFonts w:ascii="Times New Roman" w:eastAsia="Arial" w:hAnsi="Times New Roman" w:cs="Times New Roman"/>
          <w:szCs w:val="24"/>
          <w:highlight w:val="yellow"/>
        </w:rPr>
        <w:t>(s)</w:t>
      </w:r>
      <w:r w:rsidR="00D078FC" w:rsidRPr="00561642">
        <w:rPr>
          <w:rFonts w:ascii="Times New Roman" w:eastAsia="Arial" w:hAnsi="Times New Roman" w:cs="Times New Roman"/>
          <w:szCs w:val="24"/>
          <w:highlight w:val="yellow"/>
        </w:rPr>
        <w:t>)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, que </w:t>
      </w:r>
      <w:r w:rsidR="00B34013" w:rsidRPr="00561642">
        <w:rPr>
          <w:rFonts w:ascii="Times New Roman" w:eastAsia="Arial" w:hAnsi="Times New Roman" w:cs="Times New Roman"/>
          <w:szCs w:val="24"/>
        </w:rPr>
        <w:t>totaliza(m)</w:t>
      </w:r>
      <w:r w:rsidR="003C132E" w:rsidRPr="00561642">
        <w:rPr>
          <w:rFonts w:ascii="Times New Roman" w:eastAsia="Arial" w:hAnsi="Times New Roman" w:cs="Times New Roman"/>
          <w:szCs w:val="24"/>
        </w:rPr>
        <w:t xml:space="preserve"> </w:t>
      </w:r>
      <w:proofErr w:type="spellStart"/>
      <w:r w:rsidR="003C132E" w:rsidRPr="00561642">
        <w:rPr>
          <w:rFonts w:ascii="Times New Roman" w:eastAsia="Arial" w:hAnsi="Times New Roman" w:cs="Times New Roman"/>
          <w:szCs w:val="24"/>
          <w:highlight w:val="yellow"/>
        </w:rPr>
        <w:t>xxx</w:t>
      </w:r>
      <w:r w:rsidR="00D078FC" w:rsidRPr="00561642">
        <w:rPr>
          <w:rFonts w:ascii="Times New Roman" w:eastAsia="Arial" w:hAnsi="Times New Roman" w:cs="Times New Roman"/>
          <w:szCs w:val="24"/>
          <w:highlight w:val="yellow"/>
        </w:rPr>
        <w:t>xx</w:t>
      </w:r>
      <w:proofErr w:type="spellEnd"/>
      <w:r w:rsidR="009A5993" w:rsidRPr="00561642">
        <w:rPr>
          <w:rFonts w:ascii="Times New Roman" w:eastAsia="Arial" w:hAnsi="Times New Roman" w:cs="Times New Roman"/>
          <w:szCs w:val="24"/>
        </w:rPr>
        <w:t xml:space="preserve"> lotes</w:t>
      </w:r>
      <w:r w:rsidR="00F15917">
        <w:rPr>
          <w:rFonts w:ascii="Times New Roman" w:eastAsia="Arial" w:hAnsi="Times New Roman" w:cs="Times New Roman"/>
          <w:szCs w:val="24"/>
        </w:rPr>
        <w:t>.</w:t>
      </w:r>
      <w:r w:rsidR="009A5993" w:rsidRPr="00561642">
        <w:rPr>
          <w:rFonts w:ascii="Times New Roman" w:eastAsia="Arial" w:hAnsi="Times New Roman" w:cs="Times New Roman"/>
          <w:szCs w:val="24"/>
        </w:rPr>
        <w:t xml:space="preserve">  </w:t>
      </w:r>
      <w:r w:rsidR="006704C3" w:rsidRPr="00561642">
        <w:rPr>
          <w:rFonts w:ascii="Times New Roman" w:eastAsia="Arial" w:hAnsi="Times New Roman" w:cs="Times New Roman"/>
          <w:szCs w:val="24"/>
        </w:rPr>
        <w:t xml:space="preserve"> </w:t>
      </w:r>
    </w:p>
    <w:p w14:paraId="54C71564" w14:textId="45AD11AA" w:rsidR="00584395" w:rsidRPr="00561642" w:rsidRDefault="00584395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Desta feita, </w:t>
      </w:r>
      <w:r w:rsidR="009A5993" w:rsidRPr="00561642">
        <w:rPr>
          <w:rFonts w:ascii="Times New Roman" w:hAnsi="Times New Roman" w:cs="Times New Roman"/>
          <w:szCs w:val="24"/>
        </w:rPr>
        <w:t xml:space="preserve">é necessária </w:t>
      </w:r>
      <w:r w:rsidRPr="00561642">
        <w:rPr>
          <w:rFonts w:ascii="Times New Roman" w:hAnsi="Times New Roman" w:cs="Times New Roman"/>
          <w:szCs w:val="24"/>
        </w:rPr>
        <w:t xml:space="preserve">a disponibilização de tais atividades por meio de empresa contratada, de modo que a execução contratual se inicie em 60 dias. </w:t>
      </w:r>
    </w:p>
    <w:p w14:paraId="433E7FB7" w14:textId="77777777" w:rsidR="0063072B" w:rsidRPr="00561642" w:rsidRDefault="0063072B" w:rsidP="002D4F81">
      <w:pPr>
        <w:pStyle w:val="PargrafodaLista"/>
        <w:spacing w:after="120"/>
        <w:ind w:left="284" w:firstLine="424"/>
        <w:jc w:val="both"/>
        <w:rPr>
          <w:rFonts w:ascii="Times New Roman" w:hAnsi="Times New Roman" w:cs="Times New Roman"/>
          <w:szCs w:val="24"/>
        </w:rPr>
      </w:pPr>
    </w:p>
    <w:p w14:paraId="5D5A89F4" w14:textId="6E607C84" w:rsidR="001C4449" w:rsidRPr="00561642" w:rsidRDefault="001C4449" w:rsidP="002D4F81">
      <w:pPr>
        <w:pStyle w:val="PargrafodaLista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Demonstração da previsão da contratação no Instrumento de Planejamento Anual de Contratações (PCA)</w:t>
      </w:r>
      <w:r w:rsidR="00AA4F7E" w:rsidRPr="00561642">
        <w:rPr>
          <w:rFonts w:ascii="Times New Roman" w:hAnsi="Times New Roman" w:cs="Times New Roman"/>
          <w:b/>
          <w:szCs w:val="24"/>
        </w:rPr>
        <w:t>:</w:t>
      </w:r>
    </w:p>
    <w:p w14:paraId="76254CC0" w14:textId="3E191C1C" w:rsidR="003C132E" w:rsidRPr="00561642" w:rsidRDefault="003C132E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247E87">
        <w:rPr>
          <w:rFonts w:ascii="Times New Roman" w:eastAsia="Arial" w:hAnsi="Times New Roman" w:cs="Times New Roman"/>
          <w:szCs w:val="24"/>
        </w:rPr>
        <w:t>O Plano de Contratações Anual de 2025</w:t>
      </w:r>
      <w:r w:rsidR="00381AF7" w:rsidRPr="00247E87">
        <w:rPr>
          <w:rFonts w:ascii="Times New Roman" w:eastAsia="Arial" w:hAnsi="Times New Roman" w:cs="Times New Roman"/>
          <w:szCs w:val="24"/>
        </w:rPr>
        <w:t xml:space="preserve"> </w:t>
      </w:r>
      <w:r w:rsidRPr="00247E87">
        <w:rPr>
          <w:rFonts w:ascii="Times New Roman" w:eastAsia="Arial" w:hAnsi="Times New Roman" w:cs="Times New Roman"/>
          <w:szCs w:val="24"/>
        </w:rPr>
        <w:t>prevê a contratação de empresa para a regularização fundiária</w:t>
      </w:r>
      <w:r w:rsidR="00DD7CC0" w:rsidRPr="00247E87">
        <w:rPr>
          <w:rFonts w:ascii="Times New Roman" w:eastAsia="Arial" w:hAnsi="Times New Roman" w:cs="Times New Roman"/>
          <w:szCs w:val="24"/>
        </w:rPr>
        <w:t xml:space="preserve"> </w:t>
      </w:r>
      <w:r w:rsidRPr="00247E87">
        <w:rPr>
          <w:rFonts w:ascii="Times New Roman" w:eastAsia="Arial" w:hAnsi="Times New Roman" w:cs="Times New Roman"/>
          <w:szCs w:val="24"/>
        </w:rPr>
        <w:t>da</w:t>
      </w:r>
      <w:r w:rsidR="00F15917" w:rsidRPr="00247E87">
        <w:rPr>
          <w:rFonts w:ascii="Times New Roman" w:eastAsia="Arial" w:hAnsi="Times New Roman" w:cs="Times New Roman"/>
          <w:szCs w:val="24"/>
        </w:rPr>
        <w:t>(s)</w:t>
      </w:r>
      <w:r w:rsidRPr="00247E87">
        <w:rPr>
          <w:rFonts w:ascii="Times New Roman" w:eastAsia="Arial" w:hAnsi="Times New Roman" w:cs="Times New Roman"/>
          <w:szCs w:val="24"/>
        </w:rPr>
        <w:t xml:space="preserve"> área</w:t>
      </w:r>
      <w:r w:rsidR="00F15917" w:rsidRPr="00247E87">
        <w:rPr>
          <w:rFonts w:ascii="Times New Roman" w:eastAsia="Arial" w:hAnsi="Times New Roman" w:cs="Times New Roman"/>
          <w:szCs w:val="24"/>
        </w:rPr>
        <w:t>(s)</w:t>
      </w:r>
      <w:r w:rsidRPr="00247E87">
        <w:rPr>
          <w:rFonts w:ascii="Times New Roman" w:eastAsia="Arial" w:hAnsi="Times New Roman" w:cs="Times New Roman"/>
          <w:szCs w:val="24"/>
        </w:rPr>
        <w:t xml:space="preserve"> 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>XXXX</w:t>
      </w:r>
      <w:r w:rsidRPr="00561642">
        <w:rPr>
          <w:rFonts w:ascii="Times New Roman" w:eastAsia="Arial" w:hAnsi="Times New Roman" w:cs="Times New Roman"/>
          <w:szCs w:val="24"/>
        </w:rPr>
        <w:t>.</w:t>
      </w:r>
    </w:p>
    <w:p w14:paraId="1885C645" w14:textId="37005ED8" w:rsidR="00F62A30" w:rsidRPr="00561642" w:rsidRDefault="003C132E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Os</w:t>
      </w:r>
      <w:r w:rsidR="00176093" w:rsidRPr="00561642">
        <w:rPr>
          <w:rFonts w:ascii="Times New Roman" w:eastAsia="Arial" w:hAnsi="Times New Roman" w:cs="Times New Roman"/>
          <w:szCs w:val="24"/>
        </w:rPr>
        <w:t xml:space="preserve"> recursos orçamentários de Investimento, para a contratação dos serviços </w:t>
      </w:r>
      <w:r w:rsidRPr="00561642">
        <w:rPr>
          <w:rFonts w:ascii="Times New Roman" w:eastAsia="Arial" w:hAnsi="Times New Roman" w:cs="Times New Roman"/>
          <w:szCs w:val="24"/>
        </w:rPr>
        <w:t xml:space="preserve">estão previstos no 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>Convênio nº XX</w:t>
      </w:r>
      <w:r w:rsidR="00184DC1" w:rsidRPr="00561642">
        <w:rPr>
          <w:rFonts w:ascii="Times New Roman" w:eastAsia="Arial" w:hAnsi="Times New Roman" w:cs="Times New Roman"/>
          <w:szCs w:val="24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firmado com a </w:t>
      </w:r>
      <w:r w:rsidR="00D375FD">
        <w:rPr>
          <w:rFonts w:ascii="Times New Roman" w:eastAsia="Arial" w:hAnsi="Times New Roman" w:cs="Times New Roman"/>
          <w:szCs w:val="24"/>
        </w:rPr>
        <w:t>COHAPAR</w:t>
      </w:r>
      <w:r w:rsidRPr="00561642">
        <w:rPr>
          <w:rFonts w:ascii="Times New Roman" w:eastAsia="Arial" w:hAnsi="Times New Roman" w:cs="Times New Roman"/>
          <w:szCs w:val="24"/>
        </w:rPr>
        <w:t xml:space="preserve"> em </w:t>
      </w:r>
      <w:proofErr w:type="spellStart"/>
      <w:r w:rsidRPr="00561642">
        <w:rPr>
          <w:rFonts w:ascii="Times New Roman" w:eastAsia="Arial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eastAsia="Arial" w:hAnsi="Times New Roman" w:cs="Times New Roman"/>
          <w:szCs w:val="24"/>
          <w:highlight w:val="yellow"/>
        </w:rPr>
        <w:t>/</w:t>
      </w:r>
      <w:proofErr w:type="spellStart"/>
      <w:r w:rsidRPr="00561642">
        <w:rPr>
          <w:rFonts w:ascii="Times New Roman" w:eastAsia="Arial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eastAsia="Arial" w:hAnsi="Times New Roman" w:cs="Times New Roman"/>
          <w:szCs w:val="24"/>
          <w:highlight w:val="yellow"/>
        </w:rPr>
        <w:t>/</w:t>
      </w:r>
      <w:proofErr w:type="spellStart"/>
      <w:r w:rsidRPr="00561642">
        <w:rPr>
          <w:rFonts w:ascii="Times New Roman" w:eastAsia="Arial" w:hAnsi="Times New Roman" w:cs="Times New Roman"/>
          <w:szCs w:val="24"/>
          <w:highlight w:val="yellow"/>
        </w:rPr>
        <w:t>xxxx</w:t>
      </w:r>
      <w:proofErr w:type="spellEnd"/>
      <w:r w:rsidRPr="00561642">
        <w:rPr>
          <w:rFonts w:ascii="Times New Roman" w:eastAsia="Arial" w:hAnsi="Times New Roman" w:cs="Times New Roman"/>
          <w:szCs w:val="24"/>
          <w:highlight w:val="yellow"/>
        </w:rPr>
        <w:t>.</w:t>
      </w:r>
    </w:p>
    <w:p w14:paraId="7ED18DF1" w14:textId="5F5880FF" w:rsidR="00176093" w:rsidRPr="00561642" w:rsidRDefault="00176093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O custo dos serviços a serem contratados </w:t>
      </w:r>
      <w:r w:rsidR="00D078FC" w:rsidRPr="00561642">
        <w:rPr>
          <w:rFonts w:ascii="Times New Roman" w:eastAsia="Arial" w:hAnsi="Times New Roman" w:cs="Times New Roman"/>
          <w:szCs w:val="24"/>
        </w:rPr>
        <w:t xml:space="preserve">está orçado em </w:t>
      </w:r>
      <w:r w:rsidR="00C65476" w:rsidRPr="00561642">
        <w:rPr>
          <w:rFonts w:ascii="Times New Roman" w:eastAsia="Arial" w:hAnsi="Times New Roman" w:cs="Times New Roman"/>
          <w:szCs w:val="24"/>
          <w:highlight w:val="yellow"/>
        </w:rPr>
        <w:t xml:space="preserve">R$ </w:t>
      </w:r>
      <w:proofErr w:type="gramStart"/>
      <w:r w:rsidR="00C65476" w:rsidRPr="00561642">
        <w:rPr>
          <w:rFonts w:ascii="Times New Roman" w:eastAsia="Arial" w:hAnsi="Times New Roman" w:cs="Times New Roman"/>
          <w:szCs w:val="24"/>
          <w:highlight w:val="yellow"/>
        </w:rPr>
        <w:t>xxx.</w:t>
      </w:r>
      <w:proofErr w:type="gramEnd"/>
      <w:r w:rsidR="00C65476" w:rsidRPr="00561642">
        <w:rPr>
          <w:rFonts w:ascii="Times New Roman" w:eastAsia="Arial" w:hAnsi="Times New Roman" w:cs="Times New Roman"/>
          <w:szCs w:val="24"/>
          <w:highlight w:val="yellow"/>
        </w:rPr>
        <w:t>xxx,00.</w:t>
      </w:r>
    </w:p>
    <w:p w14:paraId="63A1A5EA" w14:textId="77777777" w:rsidR="008B210E" w:rsidRPr="00561642" w:rsidRDefault="008B210E" w:rsidP="008B210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</w:p>
    <w:p w14:paraId="144E6DB6" w14:textId="77777777" w:rsidR="004E0A1B" w:rsidRPr="00561642" w:rsidRDefault="004E0A1B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Requisitos da Contratação: </w:t>
      </w:r>
    </w:p>
    <w:p w14:paraId="22E47859" w14:textId="1097EC98" w:rsidR="00652905" w:rsidRPr="00561642" w:rsidRDefault="004E0A1B" w:rsidP="002D4F81">
      <w:pPr>
        <w:spacing w:after="120"/>
        <w:ind w:left="709" w:hanging="425"/>
        <w:jc w:val="both"/>
        <w:rPr>
          <w:rFonts w:ascii="Times New Roman" w:hAnsi="Times New Roman" w:cs="Times New Roman"/>
          <w:szCs w:val="24"/>
        </w:rPr>
      </w:pPr>
      <w:proofErr w:type="gramStart"/>
      <w:r w:rsidRPr="00561642">
        <w:rPr>
          <w:rFonts w:ascii="Times New Roman" w:hAnsi="Times New Roman" w:cs="Times New Roman"/>
          <w:b/>
          <w:szCs w:val="24"/>
        </w:rPr>
        <w:t>1</w:t>
      </w:r>
      <w:proofErr w:type="gramEnd"/>
      <w:r w:rsidRPr="00561642">
        <w:rPr>
          <w:rFonts w:ascii="Times New Roman" w:hAnsi="Times New Roman" w:cs="Times New Roman"/>
          <w:b/>
          <w:szCs w:val="24"/>
        </w:rPr>
        <w:t>)</w:t>
      </w:r>
      <w:r w:rsidR="00652905" w:rsidRPr="00561642">
        <w:rPr>
          <w:rFonts w:ascii="Times New Roman" w:hAnsi="Times New Roman" w:cs="Times New Roman"/>
          <w:b/>
          <w:szCs w:val="24"/>
        </w:rPr>
        <w:t xml:space="preserve"> </w:t>
      </w:r>
      <w:r w:rsidR="00652905" w:rsidRPr="00561642">
        <w:rPr>
          <w:rFonts w:ascii="Times New Roman" w:hAnsi="Times New Roman" w:cs="Times New Roman"/>
          <w:szCs w:val="24"/>
        </w:rPr>
        <w:t xml:space="preserve">seleção de empresa para execução de serviços técnicos, </w:t>
      </w:r>
      <w:r w:rsidR="003C132E" w:rsidRPr="00561642">
        <w:rPr>
          <w:rFonts w:ascii="Times New Roman" w:hAnsi="Times New Roman" w:cs="Times New Roman"/>
          <w:szCs w:val="24"/>
        </w:rPr>
        <w:t xml:space="preserve">sociais, </w:t>
      </w:r>
      <w:r w:rsidR="00652905" w:rsidRPr="00561642">
        <w:rPr>
          <w:rFonts w:ascii="Times New Roman" w:hAnsi="Times New Roman" w:cs="Times New Roman"/>
          <w:szCs w:val="24"/>
        </w:rPr>
        <w:t xml:space="preserve">administrativos e jurídicos necessários para promover a Regularização Fundiária de Interesse Social das áreas localizadas no Município de </w:t>
      </w:r>
      <w:r w:rsidR="003C132E" w:rsidRPr="00561642">
        <w:rPr>
          <w:rFonts w:ascii="Times New Roman" w:hAnsi="Times New Roman" w:cs="Times New Roman"/>
          <w:szCs w:val="24"/>
          <w:highlight w:val="yellow"/>
        </w:rPr>
        <w:t>XXXXX</w:t>
      </w:r>
      <w:r w:rsidR="00652905" w:rsidRPr="00561642">
        <w:rPr>
          <w:rFonts w:ascii="Times New Roman" w:hAnsi="Times New Roman" w:cs="Times New Roman"/>
          <w:szCs w:val="24"/>
        </w:rPr>
        <w:t>, notadamente aqueles serviços previstos na Lei n° 13.465/2017 e Decreto n° 9.310/2018, além de outros necessário</w:t>
      </w:r>
      <w:r w:rsidR="00176093" w:rsidRPr="00561642">
        <w:rPr>
          <w:rFonts w:ascii="Times New Roman" w:hAnsi="Times New Roman" w:cs="Times New Roman"/>
          <w:szCs w:val="24"/>
        </w:rPr>
        <w:t>s por força de legislação local.</w:t>
      </w:r>
    </w:p>
    <w:p w14:paraId="13667A7D" w14:textId="003A731C" w:rsidR="004E0A1B" w:rsidRPr="00561642" w:rsidRDefault="004E0A1B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561642">
        <w:rPr>
          <w:rFonts w:ascii="Times New Roman" w:hAnsi="Times New Roman" w:cs="Times New Roman"/>
          <w:b/>
          <w:szCs w:val="24"/>
        </w:rPr>
        <w:t>2</w:t>
      </w:r>
      <w:proofErr w:type="gramEnd"/>
      <w:r w:rsidRPr="00561642">
        <w:rPr>
          <w:rFonts w:ascii="Times New Roman" w:hAnsi="Times New Roman" w:cs="Times New Roman"/>
          <w:b/>
          <w:szCs w:val="24"/>
        </w:rPr>
        <w:t xml:space="preserve">) </w:t>
      </w:r>
      <w:r w:rsidRPr="00561642">
        <w:rPr>
          <w:rFonts w:ascii="Times New Roman" w:hAnsi="Times New Roman" w:cs="Times New Roman"/>
          <w:szCs w:val="24"/>
        </w:rPr>
        <w:t>condi</w:t>
      </w:r>
      <w:r w:rsidR="005B49D1" w:rsidRPr="00561642">
        <w:rPr>
          <w:rFonts w:ascii="Times New Roman" w:hAnsi="Times New Roman" w:cs="Times New Roman"/>
          <w:szCs w:val="24"/>
        </w:rPr>
        <w:t xml:space="preserve">cionantes de aceitabilidade </w:t>
      </w:r>
      <w:r w:rsidRPr="00561642">
        <w:rPr>
          <w:rFonts w:ascii="Times New Roman" w:hAnsi="Times New Roman" w:cs="Times New Roman"/>
          <w:szCs w:val="24"/>
        </w:rPr>
        <w:t>contratuais:</w:t>
      </w:r>
    </w:p>
    <w:p w14:paraId="5D75C11C" w14:textId="21CFDF45" w:rsidR="004E0A1B" w:rsidRPr="00561642" w:rsidRDefault="004E0A1B" w:rsidP="002D4F81">
      <w:pPr>
        <w:spacing w:after="120"/>
        <w:ind w:left="708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i)</w:t>
      </w:r>
      <w:r w:rsidRPr="00561642">
        <w:rPr>
          <w:rFonts w:ascii="Times New Roman" w:hAnsi="Times New Roman" w:cs="Times New Roman"/>
          <w:szCs w:val="24"/>
        </w:rPr>
        <w:t xml:space="preserve"> </w:t>
      </w:r>
      <w:r w:rsidR="00274ABD" w:rsidRPr="00561642">
        <w:rPr>
          <w:rFonts w:ascii="Times New Roman" w:hAnsi="Times New Roman" w:cs="Times New Roman"/>
          <w:szCs w:val="24"/>
        </w:rPr>
        <w:t xml:space="preserve">busca cartorial e levantamento do cadastro socioeconômico </w:t>
      </w:r>
      <w:r w:rsidR="00B247B5" w:rsidRPr="00561642">
        <w:rPr>
          <w:rFonts w:ascii="Times New Roman" w:hAnsi="Times New Roman" w:cs="Times New Roman"/>
          <w:szCs w:val="24"/>
        </w:rPr>
        <w:t>das famílias</w:t>
      </w:r>
      <w:r w:rsidR="00274ABD" w:rsidRPr="00561642">
        <w:rPr>
          <w:rFonts w:ascii="Times New Roman" w:hAnsi="Times New Roman" w:cs="Times New Roman"/>
          <w:szCs w:val="24"/>
        </w:rPr>
        <w:t xml:space="preserve"> ocupantes da área a ser regularizada</w:t>
      </w:r>
      <w:r w:rsidRPr="00561642">
        <w:rPr>
          <w:rFonts w:ascii="Times New Roman" w:hAnsi="Times New Roman" w:cs="Times New Roman"/>
          <w:szCs w:val="24"/>
        </w:rPr>
        <w:t xml:space="preserve">; </w:t>
      </w:r>
    </w:p>
    <w:p w14:paraId="097E35C1" w14:textId="462FBDC3" w:rsidR="004E0A1B" w:rsidRPr="00561642" w:rsidRDefault="004E0A1B" w:rsidP="002D4F81">
      <w:pPr>
        <w:spacing w:after="120"/>
        <w:ind w:left="708"/>
        <w:jc w:val="both"/>
        <w:rPr>
          <w:rFonts w:ascii="Times New Roman" w:hAnsi="Times New Roman" w:cs="Times New Roman"/>
          <w:strike/>
          <w:szCs w:val="24"/>
        </w:rPr>
      </w:pPr>
      <w:proofErr w:type="spellStart"/>
      <w:proofErr w:type="gramStart"/>
      <w:r w:rsidRPr="00561642">
        <w:rPr>
          <w:rFonts w:ascii="Times New Roman" w:hAnsi="Times New Roman" w:cs="Times New Roman"/>
          <w:b/>
          <w:szCs w:val="24"/>
        </w:rPr>
        <w:t>ii</w:t>
      </w:r>
      <w:proofErr w:type="spellEnd"/>
      <w:proofErr w:type="gramEnd"/>
      <w:r w:rsidRPr="00561642">
        <w:rPr>
          <w:rFonts w:ascii="Times New Roman" w:hAnsi="Times New Roman" w:cs="Times New Roman"/>
          <w:b/>
          <w:szCs w:val="24"/>
        </w:rPr>
        <w:t>)</w:t>
      </w:r>
      <w:r w:rsidRPr="00561642">
        <w:rPr>
          <w:rFonts w:ascii="Times New Roman" w:hAnsi="Times New Roman" w:cs="Times New Roman"/>
          <w:szCs w:val="24"/>
        </w:rPr>
        <w:t xml:space="preserve"> </w:t>
      </w:r>
      <w:r w:rsidR="00B247B5" w:rsidRPr="00561642">
        <w:rPr>
          <w:rFonts w:ascii="Times New Roman" w:hAnsi="Times New Roman" w:cs="Times New Roman"/>
          <w:szCs w:val="24"/>
        </w:rPr>
        <w:t>elaboração do levantamento planialtimétrico cadastral</w:t>
      </w:r>
      <w:r w:rsidRPr="00561642">
        <w:rPr>
          <w:rFonts w:ascii="Times New Roman" w:hAnsi="Times New Roman" w:cs="Times New Roman"/>
          <w:szCs w:val="24"/>
        </w:rPr>
        <w:t>;</w:t>
      </w:r>
      <w:r w:rsidR="00B247B5" w:rsidRPr="00561642">
        <w:rPr>
          <w:rFonts w:ascii="Times New Roman" w:hAnsi="Times New Roman" w:cs="Times New Roman"/>
          <w:szCs w:val="24"/>
        </w:rPr>
        <w:t xml:space="preserve"> aprovação dos</w:t>
      </w:r>
      <w:r w:rsidRPr="00561642">
        <w:rPr>
          <w:rFonts w:ascii="Times New Roman" w:hAnsi="Times New Roman" w:cs="Times New Roman"/>
          <w:szCs w:val="24"/>
        </w:rPr>
        <w:t xml:space="preserve"> projetos de </w:t>
      </w:r>
      <w:r w:rsidR="00B247B5" w:rsidRPr="00561642">
        <w:rPr>
          <w:rFonts w:ascii="Times New Roman" w:hAnsi="Times New Roman" w:cs="Times New Roman"/>
          <w:szCs w:val="24"/>
        </w:rPr>
        <w:t>regularização fundiária no município até a emissão da certidão de Regularização Fundiária -CRF</w:t>
      </w:r>
      <w:r w:rsidRPr="00561642">
        <w:rPr>
          <w:rFonts w:ascii="Times New Roman" w:hAnsi="Times New Roman" w:cs="Times New Roman"/>
          <w:szCs w:val="24"/>
        </w:rPr>
        <w:t>;</w:t>
      </w:r>
      <w:r w:rsidR="00D078FC" w:rsidRPr="00561642">
        <w:rPr>
          <w:rFonts w:ascii="Times New Roman" w:hAnsi="Times New Roman" w:cs="Times New Roman"/>
          <w:szCs w:val="24"/>
        </w:rPr>
        <w:t xml:space="preserve"> registro da</w:t>
      </w:r>
      <w:r w:rsidR="00B247B5" w:rsidRPr="00561642">
        <w:rPr>
          <w:rFonts w:ascii="Times New Roman" w:hAnsi="Times New Roman" w:cs="Times New Roman"/>
          <w:szCs w:val="24"/>
        </w:rPr>
        <w:t xml:space="preserve"> CRF em nome das famílias beneficiárias no registro de imóveis competentes;</w:t>
      </w:r>
      <w:r w:rsidRPr="00561642">
        <w:rPr>
          <w:rFonts w:ascii="Times New Roman" w:hAnsi="Times New Roman" w:cs="Times New Roman"/>
          <w:szCs w:val="24"/>
        </w:rPr>
        <w:t xml:space="preserve"> orçamento detalhado e, cronograma físico-financeiro, adequados ao </w:t>
      </w:r>
      <w:r w:rsidR="00B247B5" w:rsidRPr="00561642">
        <w:rPr>
          <w:rFonts w:ascii="Times New Roman" w:hAnsi="Times New Roman" w:cs="Times New Roman"/>
          <w:szCs w:val="24"/>
        </w:rPr>
        <w:t>serviço contratado</w:t>
      </w:r>
      <w:r w:rsidRPr="00561642">
        <w:rPr>
          <w:rFonts w:ascii="Times New Roman" w:hAnsi="Times New Roman" w:cs="Times New Roman"/>
          <w:szCs w:val="24"/>
        </w:rPr>
        <w:t xml:space="preserve">, para verificação do atendimento às diretrizes estabelecidas pela </w:t>
      </w:r>
      <w:r w:rsidR="00D375FD">
        <w:rPr>
          <w:rFonts w:ascii="Times New Roman" w:hAnsi="Times New Roman" w:cs="Times New Roman"/>
          <w:szCs w:val="24"/>
        </w:rPr>
        <w:t>COHAPAR</w:t>
      </w:r>
      <w:r w:rsidR="00B247B5" w:rsidRPr="00561642">
        <w:rPr>
          <w:rFonts w:ascii="Times New Roman" w:hAnsi="Times New Roman" w:cs="Times New Roman"/>
          <w:szCs w:val="24"/>
        </w:rPr>
        <w:t>; disponibilização das certidões emitidas pelo Cart</w:t>
      </w:r>
      <w:r w:rsidR="00164F68" w:rsidRPr="00561642">
        <w:rPr>
          <w:rFonts w:ascii="Times New Roman" w:hAnsi="Times New Roman" w:cs="Times New Roman"/>
          <w:szCs w:val="24"/>
        </w:rPr>
        <w:t>ório de Registro</w:t>
      </w:r>
      <w:r w:rsidR="00B247B5" w:rsidRPr="00561642">
        <w:rPr>
          <w:rFonts w:ascii="Times New Roman" w:hAnsi="Times New Roman" w:cs="Times New Roman"/>
          <w:szCs w:val="24"/>
        </w:rPr>
        <w:t xml:space="preserve"> de I</w:t>
      </w:r>
      <w:r w:rsidR="00D078FC" w:rsidRPr="00561642">
        <w:rPr>
          <w:rFonts w:ascii="Times New Roman" w:hAnsi="Times New Roman" w:cs="Times New Roman"/>
          <w:szCs w:val="24"/>
        </w:rPr>
        <w:t>móveis com o devido registro da</w:t>
      </w:r>
      <w:r w:rsidR="00B247B5" w:rsidRPr="00561642">
        <w:rPr>
          <w:rFonts w:ascii="Times New Roman" w:hAnsi="Times New Roman" w:cs="Times New Roman"/>
          <w:szCs w:val="24"/>
        </w:rPr>
        <w:t xml:space="preserve"> </w:t>
      </w:r>
      <w:r w:rsidR="005644D0" w:rsidRPr="00561642">
        <w:rPr>
          <w:rFonts w:ascii="Times New Roman" w:hAnsi="Times New Roman" w:cs="Times New Roman"/>
          <w:szCs w:val="24"/>
        </w:rPr>
        <w:t>CRF em nome das famílias benef</w:t>
      </w:r>
      <w:r w:rsidR="00F15917">
        <w:rPr>
          <w:rFonts w:ascii="Times New Roman" w:hAnsi="Times New Roman" w:cs="Times New Roman"/>
          <w:szCs w:val="24"/>
        </w:rPr>
        <w:t>iciárias na sede do município</w:t>
      </w:r>
      <w:r w:rsidR="00B247B5" w:rsidRPr="00561642">
        <w:rPr>
          <w:rFonts w:ascii="Times New Roman" w:hAnsi="Times New Roman" w:cs="Times New Roman"/>
          <w:szCs w:val="24"/>
        </w:rPr>
        <w:t>.</w:t>
      </w:r>
    </w:p>
    <w:p w14:paraId="49E0D3C7" w14:textId="2F5449B5" w:rsidR="004E0A1B" w:rsidRPr="00561642" w:rsidRDefault="004E0A1B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561642">
        <w:rPr>
          <w:rFonts w:ascii="Times New Roman" w:hAnsi="Times New Roman" w:cs="Times New Roman"/>
          <w:b/>
          <w:szCs w:val="24"/>
        </w:rPr>
        <w:t>3</w:t>
      </w:r>
      <w:proofErr w:type="gramEnd"/>
      <w:r w:rsidRPr="00561642">
        <w:rPr>
          <w:rFonts w:ascii="Times New Roman" w:hAnsi="Times New Roman" w:cs="Times New Roman"/>
          <w:b/>
          <w:szCs w:val="24"/>
        </w:rPr>
        <w:t xml:space="preserve">) </w:t>
      </w:r>
      <w:r w:rsidRPr="00561642">
        <w:rPr>
          <w:rFonts w:ascii="Times New Roman" w:hAnsi="Times New Roman" w:cs="Times New Roman"/>
          <w:szCs w:val="24"/>
        </w:rPr>
        <w:t>condicionantes de habilitação das empresas participantes quanto a qualificação técnica</w:t>
      </w:r>
      <w:r w:rsidR="00BA2582" w:rsidRPr="00561642">
        <w:rPr>
          <w:rFonts w:ascii="Times New Roman" w:hAnsi="Times New Roman" w:cs="Times New Roman"/>
          <w:szCs w:val="24"/>
        </w:rPr>
        <w:t>, jurídica, fiscal, social e trabalhista e econômica financeira</w:t>
      </w:r>
      <w:r w:rsidRPr="00561642">
        <w:rPr>
          <w:rFonts w:ascii="Times New Roman" w:hAnsi="Times New Roman" w:cs="Times New Roman"/>
          <w:szCs w:val="24"/>
        </w:rPr>
        <w:t>:</w:t>
      </w:r>
    </w:p>
    <w:p w14:paraId="70834BE9" w14:textId="2E0A590C" w:rsidR="00176093" w:rsidRPr="00561642" w:rsidRDefault="00176093" w:rsidP="002D4F81">
      <w:pPr>
        <w:spacing w:after="120"/>
        <w:ind w:left="708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lastRenderedPageBreak/>
        <w:t>Dever</w:t>
      </w:r>
      <w:r w:rsidR="00582288" w:rsidRPr="00561642">
        <w:rPr>
          <w:rFonts w:ascii="Times New Roman" w:hAnsi="Times New Roman" w:cs="Times New Roman"/>
          <w:szCs w:val="24"/>
        </w:rPr>
        <w:t xml:space="preserve">á atender ao disposto no art. </w:t>
      </w:r>
      <w:r w:rsidR="00BA2582" w:rsidRPr="00561642">
        <w:rPr>
          <w:rFonts w:ascii="Times New Roman" w:hAnsi="Times New Roman" w:cs="Times New Roman"/>
          <w:szCs w:val="24"/>
        </w:rPr>
        <w:t>62</w:t>
      </w:r>
      <w:r w:rsidR="00F15917">
        <w:rPr>
          <w:rFonts w:ascii="Times New Roman" w:hAnsi="Times New Roman" w:cs="Times New Roman"/>
          <w:szCs w:val="24"/>
        </w:rPr>
        <w:t xml:space="preserve"> da Le</w:t>
      </w:r>
      <w:r w:rsidR="00274ABD" w:rsidRPr="00561642">
        <w:rPr>
          <w:rFonts w:ascii="Times New Roman" w:hAnsi="Times New Roman" w:cs="Times New Roman"/>
          <w:szCs w:val="24"/>
        </w:rPr>
        <w:t xml:space="preserve">i </w:t>
      </w:r>
      <w:r w:rsidR="00F15917">
        <w:rPr>
          <w:rFonts w:ascii="Times New Roman" w:hAnsi="Times New Roman" w:cs="Times New Roman"/>
          <w:szCs w:val="24"/>
        </w:rPr>
        <w:t xml:space="preserve">nº </w:t>
      </w:r>
      <w:r w:rsidR="00274ABD" w:rsidRPr="00561642">
        <w:rPr>
          <w:rFonts w:ascii="Times New Roman" w:hAnsi="Times New Roman" w:cs="Times New Roman"/>
          <w:szCs w:val="24"/>
        </w:rPr>
        <w:t>14.133/202</w:t>
      </w:r>
      <w:r w:rsidR="00BA2582" w:rsidRPr="00561642">
        <w:rPr>
          <w:rFonts w:ascii="Times New Roman" w:hAnsi="Times New Roman" w:cs="Times New Roman"/>
          <w:szCs w:val="24"/>
        </w:rPr>
        <w:t>1</w:t>
      </w:r>
      <w:r w:rsidRPr="00561642">
        <w:rPr>
          <w:rFonts w:ascii="Times New Roman" w:hAnsi="Times New Roman" w:cs="Times New Roman"/>
          <w:szCs w:val="24"/>
        </w:rPr>
        <w:t>, sendo que a exigência relativa à demons</w:t>
      </w:r>
      <w:r w:rsidR="00D078FC" w:rsidRPr="00561642">
        <w:rPr>
          <w:rFonts w:ascii="Times New Roman" w:hAnsi="Times New Roman" w:cs="Times New Roman"/>
          <w:szCs w:val="24"/>
        </w:rPr>
        <w:t>tração de capacidade técnica para</w:t>
      </w:r>
      <w:r w:rsidRPr="00561642">
        <w:rPr>
          <w:rFonts w:ascii="Times New Roman" w:hAnsi="Times New Roman" w:cs="Times New Roman"/>
          <w:szCs w:val="24"/>
        </w:rPr>
        <w:t xml:space="preserve"> execução </w:t>
      </w:r>
      <w:r w:rsidRPr="00F15917">
        <w:rPr>
          <w:rFonts w:ascii="Times New Roman" w:hAnsi="Times New Roman" w:cs="Times New Roman"/>
          <w:szCs w:val="24"/>
        </w:rPr>
        <w:t>de serviço de características semelhantes às do objeto da licitação deverá se limitar exclusivamente às parcelas de maior relevância ou valor significativo do objeto da licitação</w:t>
      </w:r>
      <w:r w:rsidRPr="00561642">
        <w:rPr>
          <w:rFonts w:ascii="Times New Roman" w:hAnsi="Times New Roman" w:cs="Times New Roman"/>
          <w:szCs w:val="24"/>
        </w:rPr>
        <w:t>, bem como a equipe técnica mínima, por ocasião da elaboração do Termo de Referência para a contratação de empresa para a regularização fundiária.</w:t>
      </w:r>
    </w:p>
    <w:p w14:paraId="3968EBF6" w14:textId="50B4196A" w:rsidR="00B5052F" w:rsidRPr="00561642" w:rsidRDefault="00961B8D" w:rsidP="002D4F81">
      <w:pPr>
        <w:spacing w:after="120"/>
        <w:ind w:left="709" w:hanging="425"/>
        <w:jc w:val="both"/>
        <w:rPr>
          <w:rFonts w:ascii="Times New Roman" w:hAnsi="Times New Roman" w:cs="Times New Roman"/>
          <w:szCs w:val="24"/>
        </w:rPr>
      </w:pPr>
      <w:proofErr w:type="gramStart"/>
      <w:r w:rsidRPr="00561642">
        <w:rPr>
          <w:rFonts w:ascii="Times New Roman" w:hAnsi="Times New Roman" w:cs="Times New Roman"/>
          <w:b/>
          <w:szCs w:val="24"/>
        </w:rPr>
        <w:t>6</w:t>
      </w:r>
      <w:proofErr w:type="gramEnd"/>
      <w:r w:rsidR="004E0A1B" w:rsidRPr="00561642">
        <w:rPr>
          <w:rFonts w:ascii="Times New Roman" w:hAnsi="Times New Roman" w:cs="Times New Roman"/>
          <w:b/>
          <w:szCs w:val="24"/>
        </w:rPr>
        <w:t>)</w:t>
      </w:r>
      <w:r w:rsidR="004E0A1B" w:rsidRPr="00561642">
        <w:rPr>
          <w:rFonts w:ascii="Times New Roman" w:hAnsi="Times New Roman" w:cs="Times New Roman"/>
          <w:szCs w:val="24"/>
        </w:rPr>
        <w:t xml:space="preserve"> avaliaç</w:t>
      </w:r>
      <w:r w:rsidR="00517466" w:rsidRPr="00561642">
        <w:rPr>
          <w:rFonts w:ascii="Times New Roman" w:hAnsi="Times New Roman" w:cs="Times New Roman"/>
          <w:szCs w:val="24"/>
        </w:rPr>
        <w:t>ão do prazo inicial do contrato</w:t>
      </w:r>
      <w:r w:rsidR="00316639" w:rsidRPr="00561642">
        <w:rPr>
          <w:rFonts w:ascii="Times New Roman" w:hAnsi="Times New Roman" w:cs="Times New Roman"/>
          <w:szCs w:val="24"/>
        </w:rPr>
        <w:t xml:space="preserve"> de</w:t>
      </w:r>
      <w:r w:rsidR="006E292A" w:rsidRPr="00561642">
        <w:rPr>
          <w:rFonts w:ascii="Times New Roman" w:hAnsi="Times New Roman" w:cs="Times New Roman"/>
          <w:szCs w:val="24"/>
        </w:rPr>
        <w:t>:</w:t>
      </w:r>
      <w:r w:rsidR="00517466" w:rsidRPr="00561642">
        <w:rPr>
          <w:rFonts w:ascii="Times New Roman" w:hAnsi="Times New Roman" w:cs="Times New Roman"/>
          <w:szCs w:val="24"/>
        </w:rPr>
        <w:t xml:space="preserve"> </w:t>
      </w:r>
      <w:r w:rsidR="001E595B" w:rsidRPr="00F15917">
        <w:rPr>
          <w:rFonts w:ascii="Times New Roman" w:hAnsi="Times New Roman" w:cs="Times New Roman"/>
          <w:b/>
          <w:szCs w:val="24"/>
        </w:rPr>
        <w:t>1</w:t>
      </w:r>
      <w:r w:rsidR="00D078FC" w:rsidRPr="00F15917">
        <w:rPr>
          <w:rFonts w:ascii="Times New Roman" w:hAnsi="Times New Roman" w:cs="Times New Roman"/>
          <w:b/>
          <w:szCs w:val="24"/>
        </w:rPr>
        <w:t>8</w:t>
      </w:r>
      <w:r w:rsidR="00B5052F" w:rsidRPr="00561642">
        <w:rPr>
          <w:rFonts w:ascii="Times New Roman" w:hAnsi="Times New Roman" w:cs="Times New Roman"/>
          <w:b/>
          <w:szCs w:val="24"/>
        </w:rPr>
        <w:t xml:space="preserve"> meses</w:t>
      </w:r>
      <w:r w:rsidR="006E292A" w:rsidRPr="00561642">
        <w:rPr>
          <w:rFonts w:ascii="Times New Roman" w:hAnsi="Times New Roman" w:cs="Times New Roman"/>
          <w:szCs w:val="24"/>
        </w:rPr>
        <w:t xml:space="preserve"> acr</w:t>
      </w:r>
      <w:r w:rsidR="004E0A1B" w:rsidRPr="00561642">
        <w:rPr>
          <w:rFonts w:ascii="Times New Roman" w:hAnsi="Times New Roman" w:cs="Times New Roman"/>
          <w:szCs w:val="24"/>
        </w:rPr>
        <w:t xml:space="preserve">escido de </w:t>
      </w:r>
      <w:r w:rsidR="006E292A" w:rsidRPr="00561642">
        <w:rPr>
          <w:rFonts w:ascii="Times New Roman" w:hAnsi="Times New Roman" w:cs="Times New Roman"/>
          <w:b/>
          <w:szCs w:val="24"/>
        </w:rPr>
        <w:t>4</w:t>
      </w:r>
      <w:r w:rsidR="004E0A1B" w:rsidRPr="00561642">
        <w:rPr>
          <w:rFonts w:ascii="Times New Roman" w:hAnsi="Times New Roman" w:cs="Times New Roman"/>
          <w:b/>
          <w:szCs w:val="24"/>
        </w:rPr>
        <w:t xml:space="preserve"> meses</w:t>
      </w:r>
      <w:r w:rsidR="004E0A1B" w:rsidRPr="00561642">
        <w:rPr>
          <w:rFonts w:ascii="Times New Roman" w:hAnsi="Times New Roman" w:cs="Times New Roman"/>
          <w:szCs w:val="24"/>
        </w:rPr>
        <w:t xml:space="preserve"> </w:t>
      </w:r>
      <w:r w:rsidR="006E292A" w:rsidRPr="00561642">
        <w:rPr>
          <w:rFonts w:ascii="Times New Roman" w:hAnsi="Times New Roman" w:cs="Times New Roman"/>
          <w:szCs w:val="24"/>
        </w:rPr>
        <w:t>de vigência do contrato.</w:t>
      </w:r>
    </w:p>
    <w:p w14:paraId="3440362C" w14:textId="7077AD41" w:rsidR="00BA2582" w:rsidRPr="00561642" w:rsidRDefault="00BA2582" w:rsidP="00BA2582">
      <w:pPr>
        <w:spacing w:after="120"/>
        <w:ind w:left="709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Tais prazos deverão ser revistos após serem apensados pelos diversos departamentos os documentos técnicos referentes </w:t>
      </w:r>
      <w:proofErr w:type="gramStart"/>
      <w:r w:rsidRPr="00561642">
        <w:rPr>
          <w:rFonts w:ascii="Times New Roman" w:eastAsia="Arial" w:hAnsi="Times New Roman" w:cs="Times New Roman"/>
          <w:szCs w:val="24"/>
        </w:rPr>
        <w:t>a</w:t>
      </w:r>
      <w:proofErr w:type="gramEnd"/>
      <w:r w:rsidRPr="00561642">
        <w:rPr>
          <w:rFonts w:ascii="Times New Roman" w:eastAsia="Arial" w:hAnsi="Times New Roman" w:cs="Times New Roman"/>
          <w:szCs w:val="24"/>
        </w:rPr>
        <w:t xml:space="preserve"> regularização, quando da elaboração dos marcos intermediários.</w:t>
      </w:r>
    </w:p>
    <w:p w14:paraId="6EBF6867" w14:textId="526D1A31" w:rsidR="00381AF7" w:rsidRPr="00561642" w:rsidRDefault="00381AF7" w:rsidP="00151253">
      <w:pPr>
        <w:spacing w:after="120"/>
        <w:ind w:left="284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561642">
        <w:rPr>
          <w:rFonts w:ascii="Times New Roman" w:hAnsi="Times New Roman" w:cs="Times New Roman"/>
          <w:b/>
          <w:szCs w:val="24"/>
        </w:rPr>
        <w:t>7</w:t>
      </w:r>
      <w:proofErr w:type="gramEnd"/>
      <w:r w:rsidRPr="00561642">
        <w:rPr>
          <w:rFonts w:ascii="Times New Roman" w:hAnsi="Times New Roman" w:cs="Times New Roman"/>
          <w:b/>
          <w:szCs w:val="24"/>
        </w:rPr>
        <w:t>)</w:t>
      </w:r>
      <w:r w:rsidR="00582288" w:rsidRPr="00561642">
        <w:rPr>
          <w:rFonts w:ascii="Times New Roman" w:hAnsi="Times New Roman" w:cs="Times New Roman"/>
          <w:szCs w:val="24"/>
        </w:rPr>
        <w:t xml:space="preserve"> normas a serem respeitadas</w:t>
      </w:r>
      <w:r w:rsidR="00184DC1" w:rsidRPr="00561642">
        <w:rPr>
          <w:rFonts w:ascii="Times New Roman" w:hAnsi="Times New Roman" w:cs="Times New Roman"/>
          <w:b/>
          <w:szCs w:val="24"/>
        </w:rPr>
        <w:t>:</w:t>
      </w:r>
    </w:p>
    <w:p w14:paraId="2D5BA3A1" w14:textId="24028E44" w:rsidR="00582288" w:rsidRPr="00561642" w:rsidRDefault="003051EE" w:rsidP="004F7A8D">
      <w:pPr>
        <w:widowControl w:val="0"/>
        <w:tabs>
          <w:tab w:val="right" w:pos="709"/>
        </w:tabs>
        <w:autoSpaceDE w:val="0"/>
        <w:autoSpaceDN w:val="0"/>
        <w:spacing w:after="0"/>
        <w:ind w:left="709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Deverão</w:t>
      </w:r>
      <w:r w:rsidR="00582288" w:rsidRPr="00561642">
        <w:rPr>
          <w:rFonts w:ascii="Times New Roman" w:eastAsia="Arial" w:hAnsi="Times New Roman" w:cs="Times New Roman"/>
          <w:szCs w:val="24"/>
        </w:rPr>
        <w:t xml:space="preserve"> ser </w:t>
      </w:r>
      <w:r w:rsidRPr="00561642">
        <w:rPr>
          <w:rFonts w:ascii="Times New Roman" w:eastAsia="Arial" w:hAnsi="Times New Roman" w:cs="Times New Roman"/>
          <w:szCs w:val="24"/>
        </w:rPr>
        <w:t>atendidos</w:t>
      </w:r>
      <w:r w:rsidR="00582288" w:rsidRPr="00561642">
        <w:rPr>
          <w:rFonts w:ascii="Times New Roman" w:eastAsia="Arial" w:hAnsi="Times New Roman" w:cs="Times New Roman"/>
          <w:szCs w:val="24"/>
        </w:rPr>
        <w:t xml:space="preserve"> os requisitos constantes </w:t>
      </w:r>
      <w:r w:rsidR="00D375FD">
        <w:rPr>
          <w:rFonts w:ascii="Times New Roman" w:eastAsia="Arial" w:hAnsi="Times New Roman" w:cs="Times New Roman"/>
          <w:szCs w:val="24"/>
        </w:rPr>
        <w:t>n</w:t>
      </w:r>
      <w:r w:rsidR="00582288" w:rsidRPr="00561642">
        <w:rPr>
          <w:rFonts w:ascii="Times New Roman" w:eastAsia="Arial" w:hAnsi="Times New Roman" w:cs="Times New Roman"/>
          <w:szCs w:val="24"/>
        </w:rPr>
        <w:t xml:space="preserve">a </w:t>
      </w:r>
      <w:r w:rsidR="00184DC1" w:rsidRPr="00561642">
        <w:rPr>
          <w:rFonts w:ascii="Times New Roman" w:eastAsia="Arial" w:hAnsi="Times New Roman" w:cs="Times New Roman"/>
          <w:szCs w:val="24"/>
        </w:rPr>
        <w:t>Lei</w:t>
      </w:r>
      <w:r w:rsidR="00D375FD">
        <w:rPr>
          <w:rFonts w:ascii="Times New Roman" w:eastAsia="Arial" w:hAnsi="Times New Roman" w:cs="Times New Roman"/>
          <w:szCs w:val="24"/>
        </w:rPr>
        <w:t xml:space="preserve"> nº </w:t>
      </w:r>
      <w:proofErr w:type="gramStart"/>
      <w:r w:rsidR="00D375FD">
        <w:rPr>
          <w:rFonts w:ascii="Times New Roman" w:eastAsia="Arial" w:hAnsi="Times New Roman" w:cs="Times New Roman"/>
          <w:szCs w:val="24"/>
        </w:rPr>
        <w:t>14.133/2021, Lei</w:t>
      </w:r>
      <w:proofErr w:type="gramEnd"/>
      <w:r w:rsidR="00184DC1"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582288" w:rsidRPr="00561642">
        <w:rPr>
          <w:rFonts w:ascii="Times New Roman" w:eastAsia="Arial" w:hAnsi="Times New Roman" w:cs="Times New Roman"/>
          <w:szCs w:val="24"/>
        </w:rPr>
        <w:t>nº 13.465/2017</w:t>
      </w:r>
      <w:r w:rsidR="00DD3378" w:rsidRPr="00561642">
        <w:rPr>
          <w:rFonts w:ascii="Times New Roman" w:eastAsia="Arial" w:hAnsi="Times New Roman" w:cs="Times New Roman"/>
          <w:szCs w:val="24"/>
        </w:rPr>
        <w:t>, Decreto Federal n° 9.310/2018, e eventuais regulamentações locais</w:t>
      </w:r>
      <w:r w:rsidR="00582288" w:rsidRPr="00561642">
        <w:rPr>
          <w:rFonts w:ascii="Times New Roman" w:eastAsia="Arial" w:hAnsi="Times New Roman" w:cs="Times New Roman"/>
          <w:szCs w:val="24"/>
        </w:rPr>
        <w:t xml:space="preserve"> aplicada</w:t>
      </w:r>
      <w:r w:rsidR="00DD3378" w:rsidRPr="00561642">
        <w:rPr>
          <w:rFonts w:ascii="Times New Roman" w:eastAsia="Arial" w:hAnsi="Times New Roman" w:cs="Times New Roman"/>
          <w:szCs w:val="24"/>
        </w:rPr>
        <w:t>s</w:t>
      </w:r>
      <w:r w:rsidR="00582288" w:rsidRPr="00561642">
        <w:rPr>
          <w:rFonts w:ascii="Times New Roman" w:eastAsia="Arial" w:hAnsi="Times New Roman" w:cs="Times New Roman"/>
          <w:szCs w:val="24"/>
        </w:rPr>
        <w:t xml:space="preserve"> a regularização fundiária e as normas técnicas da Associação Brasileira de Normas</w:t>
      </w:r>
      <w:r w:rsidR="00F479E6" w:rsidRPr="00561642">
        <w:rPr>
          <w:rFonts w:ascii="Times New Roman" w:eastAsia="Arial" w:hAnsi="Times New Roman" w:cs="Times New Roman"/>
          <w:szCs w:val="24"/>
        </w:rPr>
        <w:t xml:space="preserve"> T</w:t>
      </w:r>
      <w:r w:rsidR="00582288" w:rsidRPr="00561642">
        <w:rPr>
          <w:rFonts w:ascii="Times New Roman" w:eastAsia="Arial" w:hAnsi="Times New Roman" w:cs="Times New Roman"/>
          <w:szCs w:val="24"/>
        </w:rPr>
        <w:t>écnicas</w:t>
      </w:r>
      <w:r w:rsidR="00F479E6" w:rsidRPr="00561642">
        <w:rPr>
          <w:rFonts w:ascii="Times New Roman" w:eastAsia="Arial" w:hAnsi="Times New Roman" w:cs="Times New Roman"/>
          <w:szCs w:val="24"/>
        </w:rPr>
        <w:t xml:space="preserve"> – ABNT.</w:t>
      </w:r>
    </w:p>
    <w:p w14:paraId="538F9532" w14:textId="77777777" w:rsidR="00925E09" w:rsidRPr="00561642" w:rsidRDefault="00925E09" w:rsidP="00B06F40">
      <w:pPr>
        <w:widowControl w:val="0"/>
        <w:tabs>
          <w:tab w:val="right" w:pos="709"/>
        </w:tabs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Cs w:val="24"/>
        </w:rPr>
      </w:pPr>
    </w:p>
    <w:p w14:paraId="1008E34C" w14:textId="4CFCB942" w:rsidR="008243EC" w:rsidRPr="00561642" w:rsidRDefault="004E0A1B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Estimativas das quantidades: </w:t>
      </w:r>
    </w:p>
    <w:p w14:paraId="4E609C88" w14:textId="2F319389" w:rsidR="003F1DBB" w:rsidRPr="00561642" w:rsidRDefault="00682DD5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561642">
        <w:rPr>
          <w:rFonts w:ascii="Times New Roman" w:hAnsi="Times New Roman" w:cs="Times New Roman"/>
          <w:szCs w:val="24"/>
        </w:rPr>
        <w:t>Ser</w:t>
      </w:r>
      <w:r w:rsidR="00657C51" w:rsidRPr="00561642">
        <w:rPr>
          <w:rFonts w:ascii="Times New Roman" w:hAnsi="Times New Roman" w:cs="Times New Roman"/>
          <w:szCs w:val="24"/>
        </w:rPr>
        <w:t>á(</w:t>
      </w:r>
      <w:proofErr w:type="spellStart"/>
      <w:proofErr w:type="gramEnd"/>
      <w:r w:rsidRPr="00561642">
        <w:rPr>
          <w:rFonts w:ascii="Times New Roman" w:hAnsi="Times New Roman" w:cs="Times New Roman"/>
          <w:szCs w:val="24"/>
        </w:rPr>
        <w:t>ão</w:t>
      </w:r>
      <w:proofErr w:type="spellEnd"/>
      <w:r w:rsidR="00657C51" w:rsidRPr="00561642">
        <w:rPr>
          <w:rFonts w:ascii="Times New Roman" w:hAnsi="Times New Roman" w:cs="Times New Roman"/>
          <w:szCs w:val="24"/>
        </w:rPr>
        <w:t>)</w:t>
      </w:r>
      <w:r w:rsidRPr="00561642">
        <w:rPr>
          <w:rFonts w:ascii="Times New Roman" w:hAnsi="Times New Roman" w:cs="Times New Roman"/>
          <w:szCs w:val="24"/>
        </w:rPr>
        <w:t xml:space="preserve"> </w:t>
      </w:r>
      <w:r w:rsidR="00A01F1B" w:rsidRPr="00561642">
        <w:rPr>
          <w:rFonts w:ascii="Times New Roman" w:hAnsi="Times New Roman" w:cs="Times New Roman"/>
          <w:szCs w:val="24"/>
        </w:rPr>
        <w:t>regularizado</w:t>
      </w:r>
      <w:r w:rsidR="001C438A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s</w:t>
      </w:r>
      <w:r w:rsidR="001C438A" w:rsidRPr="00561642">
        <w:rPr>
          <w:rFonts w:ascii="Times New Roman" w:hAnsi="Times New Roman" w:cs="Times New Roman"/>
          <w:szCs w:val="24"/>
        </w:rPr>
        <w:t>)</w:t>
      </w:r>
      <w:r w:rsidR="00A01F1B" w:rsidRPr="00561642">
        <w:rPr>
          <w:rFonts w:ascii="Times New Roman" w:hAnsi="Times New Roman" w:cs="Times New Roman"/>
          <w:szCs w:val="24"/>
        </w:rPr>
        <w:t xml:space="preserve"> o</w:t>
      </w:r>
      <w:r w:rsidR="001C438A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s</w:t>
      </w:r>
      <w:r w:rsidR="001C438A" w:rsidRPr="00561642">
        <w:rPr>
          <w:rFonts w:ascii="Times New Roman" w:hAnsi="Times New Roman" w:cs="Times New Roman"/>
          <w:szCs w:val="24"/>
        </w:rPr>
        <w:t>)</w:t>
      </w:r>
      <w:r w:rsidR="00A01F1B" w:rsidRPr="00561642">
        <w:rPr>
          <w:rFonts w:ascii="Times New Roman" w:hAnsi="Times New Roman" w:cs="Times New Roman"/>
          <w:szCs w:val="24"/>
        </w:rPr>
        <w:t xml:space="preserve"> núcleo</w:t>
      </w:r>
      <w:r w:rsidR="001C438A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s</w:t>
      </w:r>
      <w:r w:rsidR="001C438A" w:rsidRPr="00561642">
        <w:rPr>
          <w:rFonts w:ascii="Times New Roman" w:hAnsi="Times New Roman" w:cs="Times New Roman"/>
          <w:szCs w:val="24"/>
        </w:rPr>
        <w:t>)</w:t>
      </w:r>
      <w:r w:rsidR="00A01F1B" w:rsidRPr="00561642">
        <w:rPr>
          <w:rFonts w:ascii="Times New Roman" w:hAnsi="Times New Roman" w:cs="Times New Roman"/>
          <w:szCs w:val="24"/>
        </w:rPr>
        <w:t xml:space="preserve"> urbano</w:t>
      </w:r>
      <w:r w:rsidR="001C438A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s</w:t>
      </w:r>
      <w:r w:rsidR="001C438A" w:rsidRPr="00561642">
        <w:rPr>
          <w:rFonts w:ascii="Times New Roman" w:hAnsi="Times New Roman" w:cs="Times New Roman"/>
          <w:szCs w:val="24"/>
        </w:rPr>
        <w:t>)</w:t>
      </w:r>
      <w:r w:rsidR="00A01F1B" w:rsidRPr="00561642">
        <w:rPr>
          <w:rFonts w:ascii="Times New Roman" w:hAnsi="Times New Roman" w:cs="Times New Roman"/>
          <w:szCs w:val="24"/>
        </w:rPr>
        <w:t xml:space="preserve"> irregular</w:t>
      </w:r>
      <w:r w:rsidR="00657C51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es</w:t>
      </w:r>
      <w:r w:rsidR="00657C51" w:rsidRPr="00561642">
        <w:rPr>
          <w:rFonts w:ascii="Times New Roman" w:hAnsi="Times New Roman" w:cs="Times New Roman"/>
          <w:szCs w:val="24"/>
        </w:rPr>
        <w:t>)</w:t>
      </w:r>
      <w:r w:rsidR="00A01F1B" w:rsidRPr="00561642">
        <w:rPr>
          <w:rFonts w:ascii="Times New Roman" w:hAnsi="Times New Roman" w:cs="Times New Roman"/>
          <w:szCs w:val="24"/>
        </w:rPr>
        <w:t xml:space="preserve"> existente</w:t>
      </w:r>
      <w:r w:rsidR="00657C51" w:rsidRPr="00561642">
        <w:rPr>
          <w:rFonts w:ascii="Times New Roman" w:hAnsi="Times New Roman" w:cs="Times New Roman"/>
          <w:szCs w:val="24"/>
        </w:rPr>
        <w:t>(</w:t>
      </w:r>
      <w:r w:rsidR="00A01F1B" w:rsidRPr="00561642">
        <w:rPr>
          <w:rFonts w:ascii="Times New Roman" w:hAnsi="Times New Roman" w:cs="Times New Roman"/>
          <w:szCs w:val="24"/>
        </w:rPr>
        <w:t>s</w:t>
      </w:r>
      <w:r w:rsidR="00657C51" w:rsidRPr="00561642">
        <w:rPr>
          <w:rFonts w:ascii="Times New Roman" w:hAnsi="Times New Roman" w:cs="Times New Roman"/>
          <w:szCs w:val="24"/>
        </w:rPr>
        <w:t>)</w:t>
      </w:r>
      <w:r w:rsidR="005A74F5" w:rsidRPr="00561642">
        <w:rPr>
          <w:rFonts w:ascii="Times New Roman" w:hAnsi="Times New Roman" w:cs="Times New Roman"/>
          <w:szCs w:val="24"/>
        </w:rPr>
        <w:t xml:space="preserve"> em</w:t>
      </w:r>
      <w:r w:rsidR="003F1DBB"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BA2582" w:rsidRPr="00561642">
        <w:rPr>
          <w:rFonts w:ascii="Times New Roman" w:hAnsi="Times New Roman" w:cs="Times New Roman"/>
          <w:szCs w:val="24"/>
          <w:highlight w:val="yellow"/>
        </w:rPr>
        <w:t>XXXXXXX</w:t>
      </w:r>
      <w:r w:rsidR="0055274E" w:rsidRPr="00561642">
        <w:rPr>
          <w:rFonts w:ascii="Times New Roman" w:hAnsi="Times New Roman" w:cs="Times New Roman"/>
          <w:szCs w:val="24"/>
        </w:rPr>
        <w:t xml:space="preserve"> e</w:t>
      </w:r>
      <w:r w:rsidRPr="00561642">
        <w:rPr>
          <w:rFonts w:ascii="Times New Roman" w:hAnsi="Times New Roman" w:cs="Times New Roman"/>
          <w:szCs w:val="24"/>
        </w:rPr>
        <w:t xml:space="preserve">, que somam </w:t>
      </w:r>
      <w:r w:rsidR="00BA2582" w:rsidRPr="00561642">
        <w:rPr>
          <w:rFonts w:ascii="Times New Roman" w:hAnsi="Times New Roman" w:cs="Times New Roman"/>
          <w:szCs w:val="24"/>
          <w:highlight w:val="yellow"/>
        </w:rPr>
        <w:t>XX</w:t>
      </w:r>
      <w:r w:rsidR="003F1DBB" w:rsidRPr="00561642">
        <w:rPr>
          <w:rFonts w:ascii="Times New Roman" w:hAnsi="Times New Roman" w:cs="Times New Roman"/>
          <w:szCs w:val="24"/>
        </w:rPr>
        <w:t xml:space="preserve"> </w:t>
      </w:r>
      <w:r w:rsidR="00176093" w:rsidRPr="00561642">
        <w:rPr>
          <w:rFonts w:ascii="Times New Roman" w:hAnsi="Times New Roman" w:cs="Times New Roman"/>
          <w:szCs w:val="24"/>
        </w:rPr>
        <w:t>títulos</w:t>
      </w:r>
      <w:r w:rsidRPr="00561642">
        <w:rPr>
          <w:rFonts w:ascii="Times New Roman" w:hAnsi="Times New Roman" w:cs="Times New Roman"/>
          <w:szCs w:val="24"/>
        </w:rPr>
        <w:t>, especificad</w:t>
      </w:r>
      <w:r w:rsidR="00176093" w:rsidRPr="00561642">
        <w:rPr>
          <w:rFonts w:ascii="Times New Roman" w:hAnsi="Times New Roman" w:cs="Times New Roman"/>
          <w:szCs w:val="24"/>
        </w:rPr>
        <w:t>o</w:t>
      </w:r>
      <w:r w:rsidRPr="00561642">
        <w:rPr>
          <w:rFonts w:ascii="Times New Roman" w:hAnsi="Times New Roman" w:cs="Times New Roman"/>
          <w:szCs w:val="24"/>
        </w:rPr>
        <w:t>s no quadro abaix</w:t>
      </w:r>
      <w:r w:rsidR="003F1DBB" w:rsidRPr="00561642">
        <w:rPr>
          <w:rFonts w:ascii="Times New Roman" w:hAnsi="Times New Roman" w:cs="Times New Roman"/>
          <w:szCs w:val="24"/>
        </w:rPr>
        <w:t>o:</w:t>
      </w:r>
    </w:p>
    <w:tbl>
      <w:tblPr>
        <w:tblW w:w="475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6"/>
        <w:gridCol w:w="1841"/>
      </w:tblGrid>
      <w:tr w:rsidR="000E2439" w:rsidRPr="00561642" w14:paraId="41E6AB17" w14:textId="77777777" w:rsidTr="00D12129"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240B5F41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</w:rPr>
              <w:t>LOTE</w:t>
            </w:r>
          </w:p>
        </w:tc>
        <w:tc>
          <w:tcPr>
            <w:tcW w:w="3530" w:type="pct"/>
            <w:shd w:val="clear" w:color="auto" w:fill="auto"/>
          </w:tcPr>
          <w:p w14:paraId="6351F536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OBJETO</w:t>
            </w:r>
          </w:p>
        </w:tc>
        <w:tc>
          <w:tcPr>
            <w:tcW w:w="956" w:type="pct"/>
            <w:shd w:val="clear" w:color="auto" w:fill="auto"/>
          </w:tcPr>
          <w:p w14:paraId="5A390616" w14:textId="2394E42C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SUBTOTAL</w:t>
            </w:r>
          </w:p>
        </w:tc>
      </w:tr>
      <w:tr w:rsidR="000E2439" w:rsidRPr="00561642" w14:paraId="7D5DFE5D" w14:textId="77777777" w:rsidTr="00D12129">
        <w:trPr>
          <w:trHeight w:val="912"/>
        </w:trPr>
        <w:tc>
          <w:tcPr>
            <w:tcW w:w="515" w:type="pct"/>
            <w:vMerge w:val="restart"/>
            <w:shd w:val="clear" w:color="auto" w:fill="auto"/>
            <w:textDirection w:val="btLr"/>
          </w:tcPr>
          <w:p w14:paraId="4F50D0CF" w14:textId="77777777" w:rsidR="000E2439" w:rsidRPr="00561642" w:rsidRDefault="000E2439" w:rsidP="00D1212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Cs w:val="24"/>
              </w:rPr>
            </w:pPr>
          </w:p>
          <w:p w14:paraId="6A676E23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61642">
              <w:rPr>
                <w:rFonts w:ascii="Times New Roman" w:eastAsia="Calibri" w:hAnsi="Times New Roman" w:cs="Times New Roman"/>
                <w:szCs w:val="24"/>
              </w:rPr>
              <w:t>ÚNICO</w:t>
            </w:r>
          </w:p>
          <w:p w14:paraId="1CF925DC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30" w:type="pct"/>
            <w:shd w:val="clear" w:color="auto" w:fill="auto"/>
          </w:tcPr>
          <w:p w14:paraId="0E9C745E" w14:textId="769D7FA4" w:rsidR="000E2439" w:rsidRPr="00561642" w:rsidRDefault="000E2439" w:rsidP="00720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</w:rPr>
              <w:t>Execução de serviços técnicos especializados para promover a Regularização Fundiária de Interesse Social na(s) localidade(s) e quantidades discriminadas</w:t>
            </w:r>
            <w:r w:rsidR="00D375FD"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</w:rPr>
              <w:t xml:space="preserve"> abaixo:</w:t>
            </w:r>
          </w:p>
        </w:tc>
        <w:tc>
          <w:tcPr>
            <w:tcW w:w="956" w:type="pct"/>
            <w:shd w:val="clear" w:color="auto" w:fill="auto"/>
          </w:tcPr>
          <w:p w14:paraId="2328E370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</w:p>
        </w:tc>
      </w:tr>
      <w:tr w:rsidR="000E2439" w:rsidRPr="00561642" w14:paraId="261E2B4E" w14:textId="77777777" w:rsidTr="00D12129">
        <w:tc>
          <w:tcPr>
            <w:tcW w:w="515" w:type="pct"/>
            <w:vMerge/>
            <w:shd w:val="clear" w:color="auto" w:fill="auto"/>
          </w:tcPr>
          <w:p w14:paraId="19F4443A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30" w:type="pct"/>
            <w:shd w:val="clear" w:color="auto" w:fill="auto"/>
          </w:tcPr>
          <w:p w14:paraId="4AEA2416" w14:textId="0BD00BEB" w:rsidR="000E2439" w:rsidRPr="00561642" w:rsidRDefault="000E2439" w:rsidP="000E2439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Loteamento </w:t>
            </w:r>
            <w:proofErr w:type="spellStart"/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xxxxx</w:t>
            </w:r>
            <w:proofErr w:type="spellEnd"/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1377309E" w14:textId="032B6EA5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proofErr w:type="spellStart"/>
            <w:r w:rsidRPr="00561642">
              <w:rPr>
                <w:rFonts w:ascii="Times New Roman" w:eastAsia="Calibri" w:hAnsi="Times New Roman" w:cs="Times New Roman"/>
                <w:szCs w:val="24"/>
                <w:highlight w:val="yellow"/>
              </w:rPr>
              <w:t>xx</w:t>
            </w:r>
            <w:proofErr w:type="spellEnd"/>
          </w:p>
        </w:tc>
      </w:tr>
      <w:tr w:rsidR="000E2439" w:rsidRPr="00561642" w14:paraId="48FF36B8" w14:textId="77777777" w:rsidTr="00D12129">
        <w:tc>
          <w:tcPr>
            <w:tcW w:w="515" w:type="pct"/>
            <w:vMerge/>
            <w:shd w:val="clear" w:color="auto" w:fill="auto"/>
          </w:tcPr>
          <w:p w14:paraId="6E7003B5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30" w:type="pct"/>
            <w:shd w:val="clear" w:color="auto" w:fill="auto"/>
          </w:tcPr>
          <w:p w14:paraId="5A4B35AE" w14:textId="591A2DEB" w:rsidR="000E2439" w:rsidRPr="00561642" w:rsidRDefault="000E2439" w:rsidP="000E2439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Loteamento </w:t>
            </w:r>
            <w:proofErr w:type="spellStart"/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xxxxx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12574907" w14:textId="2651ED11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proofErr w:type="spellStart"/>
            <w:r w:rsidRPr="00561642">
              <w:rPr>
                <w:rFonts w:ascii="Times New Roman" w:eastAsia="Calibri" w:hAnsi="Times New Roman" w:cs="Times New Roman"/>
                <w:szCs w:val="24"/>
                <w:highlight w:val="yellow"/>
              </w:rPr>
              <w:t>xx</w:t>
            </w:r>
            <w:proofErr w:type="spellEnd"/>
          </w:p>
        </w:tc>
      </w:tr>
      <w:tr w:rsidR="000E2439" w:rsidRPr="00561642" w14:paraId="6F4D7BF4" w14:textId="77777777" w:rsidTr="00D12129">
        <w:tc>
          <w:tcPr>
            <w:tcW w:w="515" w:type="pct"/>
            <w:vMerge/>
            <w:shd w:val="clear" w:color="auto" w:fill="auto"/>
          </w:tcPr>
          <w:p w14:paraId="01E312DB" w14:textId="77777777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30" w:type="pct"/>
            <w:shd w:val="clear" w:color="auto" w:fill="auto"/>
          </w:tcPr>
          <w:p w14:paraId="7F56FF25" w14:textId="7C2A7084" w:rsidR="000E2439" w:rsidRPr="00561642" w:rsidRDefault="000E2439" w:rsidP="000E2439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Loteamento </w:t>
            </w:r>
            <w:proofErr w:type="spellStart"/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xxxxx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4787395C" w14:textId="30007773" w:rsidR="000E2439" w:rsidRPr="00561642" w:rsidRDefault="000E2439" w:rsidP="003F1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proofErr w:type="spellStart"/>
            <w:r w:rsidRPr="00561642">
              <w:rPr>
                <w:rFonts w:ascii="Times New Roman" w:eastAsia="Calibri" w:hAnsi="Times New Roman" w:cs="Times New Roman"/>
                <w:szCs w:val="24"/>
                <w:highlight w:val="yellow"/>
              </w:rPr>
              <w:t>xx</w:t>
            </w:r>
            <w:proofErr w:type="spellEnd"/>
          </w:p>
        </w:tc>
      </w:tr>
      <w:tr w:rsidR="000E2439" w:rsidRPr="00561642" w14:paraId="06931BC9" w14:textId="77777777" w:rsidTr="00D12129">
        <w:tc>
          <w:tcPr>
            <w:tcW w:w="5000" w:type="pct"/>
            <w:gridSpan w:val="3"/>
            <w:shd w:val="clear" w:color="auto" w:fill="auto"/>
          </w:tcPr>
          <w:p w14:paraId="38891DAF" w14:textId="794B29FC" w:rsidR="000E2439" w:rsidRPr="00561642" w:rsidRDefault="000E2439" w:rsidP="000E243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</w:pPr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 xml:space="preserve">TOTAL       </w:t>
            </w:r>
            <w:proofErr w:type="spellStart"/>
            <w:r w:rsidRPr="00561642">
              <w:rPr>
                <w:rFonts w:ascii="Times New Roman" w:eastAsia="Calibri" w:hAnsi="Times New Roman" w:cs="Times New Roman"/>
                <w:b/>
                <w:szCs w:val="24"/>
                <w:highlight w:val="yellow"/>
              </w:rPr>
              <w:t>xx</w:t>
            </w:r>
            <w:proofErr w:type="spellEnd"/>
          </w:p>
        </w:tc>
      </w:tr>
    </w:tbl>
    <w:p w14:paraId="7DA03D29" w14:textId="2F9FD71D" w:rsidR="00607825" w:rsidRPr="00561642" w:rsidRDefault="00607825" w:rsidP="009265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B2D31F" w14:textId="51839BDA" w:rsidR="0079718C" w:rsidRPr="00561642" w:rsidRDefault="004E0A1B" w:rsidP="00913AB5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Soluções de mercado e justificativa da escolha do tipo de solução a contratar: </w:t>
      </w:r>
    </w:p>
    <w:p w14:paraId="77F80B21" w14:textId="49D38CB6" w:rsidR="00420978" w:rsidRPr="00561642" w:rsidRDefault="00420978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O enfrentamento </w:t>
      </w:r>
      <w:r w:rsidR="00951EB3" w:rsidRPr="00561642">
        <w:rPr>
          <w:rFonts w:ascii="Times New Roman" w:hAnsi="Times New Roman" w:cs="Times New Roman"/>
          <w:szCs w:val="24"/>
        </w:rPr>
        <w:t>da questão da</w:t>
      </w:r>
      <w:r w:rsidRPr="00561642">
        <w:rPr>
          <w:rFonts w:ascii="Times New Roman" w:hAnsi="Times New Roman" w:cs="Times New Roman"/>
          <w:szCs w:val="24"/>
        </w:rPr>
        <w:t xml:space="preserve"> ocupação de imóveis em desacordo com a legislação relativa ao parcelamento do solo (Lei n° 6.766/1979) </w:t>
      </w:r>
      <w:r w:rsidR="00951EB3" w:rsidRPr="00561642">
        <w:rPr>
          <w:rFonts w:ascii="Times New Roman" w:hAnsi="Times New Roman" w:cs="Times New Roman"/>
          <w:szCs w:val="24"/>
        </w:rPr>
        <w:t>teve como marco legal recente a publicação d</w:t>
      </w:r>
      <w:r w:rsidR="00D12129">
        <w:rPr>
          <w:rFonts w:ascii="Times New Roman" w:hAnsi="Times New Roman" w:cs="Times New Roman"/>
          <w:szCs w:val="24"/>
        </w:rPr>
        <w:t>a</w:t>
      </w:r>
      <w:r w:rsidR="00951EB3" w:rsidRPr="00561642">
        <w:rPr>
          <w:rFonts w:ascii="Times New Roman" w:hAnsi="Times New Roman" w:cs="Times New Roman"/>
          <w:szCs w:val="24"/>
        </w:rPr>
        <w:t xml:space="preserve"> Lei n° 13.465/2017, que inseriu normas gerais sobre o procedimento de </w:t>
      </w:r>
      <w:r w:rsidR="007760F6" w:rsidRPr="00561642">
        <w:rPr>
          <w:rFonts w:ascii="Times New Roman" w:hAnsi="Times New Roman" w:cs="Times New Roman"/>
          <w:szCs w:val="24"/>
        </w:rPr>
        <w:t xml:space="preserve">REURB </w:t>
      </w:r>
      <w:r w:rsidR="00000AE5" w:rsidRPr="00561642">
        <w:rPr>
          <w:rFonts w:ascii="Times New Roman" w:hAnsi="Times New Roman" w:cs="Times New Roman"/>
          <w:szCs w:val="24"/>
        </w:rPr>
        <w:t>no território nacional</w:t>
      </w:r>
      <w:r w:rsidR="00951EB3" w:rsidRPr="00561642">
        <w:rPr>
          <w:rFonts w:ascii="Times New Roman" w:hAnsi="Times New Roman" w:cs="Times New Roman"/>
          <w:szCs w:val="24"/>
        </w:rPr>
        <w:t>.</w:t>
      </w:r>
    </w:p>
    <w:p w14:paraId="7F818DCB" w14:textId="5396A2C1" w:rsidR="00951EB3" w:rsidRPr="00561642" w:rsidRDefault="00951EB3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Por meio desse procedimento, os legitimados </w:t>
      </w:r>
      <w:r w:rsidR="00000AE5" w:rsidRPr="00561642">
        <w:rPr>
          <w:rFonts w:ascii="Times New Roman" w:hAnsi="Times New Roman" w:cs="Times New Roman"/>
          <w:szCs w:val="24"/>
        </w:rPr>
        <w:t xml:space="preserve">elencados na lei </w:t>
      </w:r>
      <w:r w:rsidRPr="00561642">
        <w:rPr>
          <w:rFonts w:ascii="Times New Roman" w:hAnsi="Times New Roman" w:cs="Times New Roman"/>
          <w:szCs w:val="24"/>
        </w:rPr>
        <w:t xml:space="preserve">podem requerer a instauração da </w:t>
      </w:r>
      <w:proofErr w:type="spellStart"/>
      <w:r w:rsidRPr="00561642">
        <w:rPr>
          <w:rFonts w:ascii="Times New Roman" w:hAnsi="Times New Roman" w:cs="Times New Roman"/>
          <w:szCs w:val="24"/>
        </w:rPr>
        <w:t>Reurb</w:t>
      </w:r>
      <w:proofErr w:type="spellEnd"/>
      <w:r w:rsidRPr="00561642">
        <w:rPr>
          <w:rFonts w:ascii="Times New Roman" w:hAnsi="Times New Roman" w:cs="Times New Roman"/>
          <w:szCs w:val="24"/>
        </w:rPr>
        <w:t xml:space="preserve">, de modo que, a partir de elementos técnicos, </w:t>
      </w:r>
      <w:r w:rsidR="00B70EC8" w:rsidRPr="00561642">
        <w:rPr>
          <w:rFonts w:ascii="Times New Roman" w:hAnsi="Times New Roman" w:cs="Times New Roman"/>
          <w:szCs w:val="24"/>
        </w:rPr>
        <w:t>seja aprovada</w:t>
      </w:r>
      <w:r w:rsidRPr="00561642">
        <w:rPr>
          <w:rFonts w:ascii="Times New Roman" w:hAnsi="Times New Roman" w:cs="Times New Roman"/>
          <w:szCs w:val="24"/>
        </w:rPr>
        <w:t xml:space="preserve"> a regularização da</w:t>
      </w:r>
      <w:r w:rsidR="001E45DA" w:rsidRPr="00561642">
        <w:rPr>
          <w:rFonts w:ascii="Times New Roman" w:hAnsi="Times New Roman" w:cs="Times New Roman"/>
          <w:szCs w:val="24"/>
        </w:rPr>
        <w:t>s</w:t>
      </w:r>
      <w:r w:rsidRPr="00561642">
        <w:rPr>
          <w:rFonts w:ascii="Times New Roman" w:hAnsi="Times New Roman" w:cs="Times New Roman"/>
          <w:szCs w:val="24"/>
        </w:rPr>
        <w:t xml:space="preserve"> ocupaç</w:t>
      </w:r>
      <w:r w:rsidR="001E45DA" w:rsidRPr="00561642">
        <w:rPr>
          <w:rFonts w:ascii="Times New Roman" w:hAnsi="Times New Roman" w:cs="Times New Roman"/>
          <w:szCs w:val="24"/>
        </w:rPr>
        <w:t>ões</w:t>
      </w:r>
      <w:r w:rsidRPr="00561642">
        <w:rPr>
          <w:rFonts w:ascii="Times New Roman" w:hAnsi="Times New Roman" w:cs="Times New Roman"/>
          <w:szCs w:val="24"/>
        </w:rPr>
        <w:t xml:space="preserve"> e emiti</w:t>
      </w:r>
      <w:r w:rsidR="001E45DA" w:rsidRPr="00561642">
        <w:rPr>
          <w:rFonts w:ascii="Times New Roman" w:hAnsi="Times New Roman" w:cs="Times New Roman"/>
          <w:szCs w:val="24"/>
        </w:rPr>
        <w:t>das</w:t>
      </w:r>
      <w:r w:rsidRPr="0056164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61642">
        <w:rPr>
          <w:rFonts w:ascii="Times New Roman" w:hAnsi="Times New Roman" w:cs="Times New Roman"/>
          <w:szCs w:val="24"/>
        </w:rPr>
        <w:t>as</w:t>
      </w:r>
      <w:proofErr w:type="gramEnd"/>
      <w:r w:rsidRPr="00561642">
        <w:rPr>
          <w:rFonts w:ascii="Times New Roman" w:hAnsi="Times New Roman" w:cs="Times New Roman"/>
          <w:szCs w:val="24"/>
        </w:rPr>
        <w:t xml:space="preserve"> respectivas Certidões de Regularização Fundiária para titular os ocupantes.</w:t>
      </w:r>
    </w:p>
    <w:p w14:paraId="5D28E347" w14:textId="65425621" w:rsidR="00FA4202" w:rsidRPr="00561642" w:rsidRDefault="001E45DA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Assim, o</w:t>
      </w:r>
      <w:r w:rsidR="00951EB3" w:rsidRPr="00561642">
        <w:rPr>
          <w:rFonts w:ascii="Times New Roman" w:hAnsi="Times New Roman" w:cs="Times New Roman"/>
          <w:szCs w:val="24"/>
        </w:rPr>
        <w:t xml:space="preserve"> procedimento de </w:t>
      </w:r>
      <w:proofErr w:type="spellStart"/>
      <w:r w:rsidR="00951EB3" w:rsidRPr="00561642">
        <w:rPr>
          <w:rFonts w:ascii="Times New Roman" w:hAnsi="Times New Roman" w:cs="Times New Roman"/>
          <w:szCs w:val="24"/>
        </w:rPr>
        <w:t>Reurb</w:t>
      </w:r>
      <w:proofErr w:type="spellEnd"/>
      <w:r w:rsidRPr="00561642">
        <w:rPr>
          <w:rFonts w:ascii="Times New Roman" w:hAnsi="Times New Roman" w:cs="Times New Roman"/>
          <w:szCs w:val="24"/>
        </w:rPr>
        <w:t xml:space="preserve"> como ferramenta legal e específica para incorporação dos núcleos urbanos irregulares </w:t>
      </w:r>
      <w:r w:rsidR="000E2439" w:rsidRPr="00561642">
        <w:rPr>
          <w:rFonts w:ascii="Times New Roman" w:hAnsi="Times New Roman" w:cs="Times New Roman"/>
          <w:szCs w:val="24"/>
        </w:rPr>
        <w:t>a</w:t>
      </w:r>
      <w:r w:rsidRPr="00561642">
        <w:rPr>
          <w:rFonts w:ascii="Times New Roman" w:hAnsi="Times New Roman" w:cs="Times New Roman"/>
          <w:szCs w:val="24"/>
        </w:rPr>
        <w:t xml:space="preserve">o ordenamento territorial urbano e </w:t>
      </w:r>
      <w:r w:rsidR="000E2439" w:rsidRPr="00561642">
        <w:rPr>
          <w:rFonts w:ascii="Times New Roman" w:hAnsi="Times New Roman" w:cs="Times New Roman"/>
          <w:szCs w:val="24"/>
        </w:rPr>
        <w:t xml:space="preserve">a </w:t>
      </w:r>
      <w:r w:rsidRPr="00561642">
        <w:rPr>
          <w:rFonts w:ascii="Times New Roman" w:hAnsi="Times New Roman" w:cs="Times New Roman"/>
          <w:szCs w:val="24"/>
        </w:rPr>
        <w:t xml:space="preserve">titulação dos ocupantes é </w:t>
      </w:r>
      <w:r w:rsidR="00FA4202" w:rsidRPr="00561642">
        <w:rPr>
          <w:rFonts w:ascii="Times New Roman" w:hAnsi="Times New Roman" w:cs="Times New Roman"/>
          <w:szCs w:val="24"/>
        </w:rPr>
        <w:t xml:space="preserve">o mecanismo adequado </w:t>
      </w:r>
      <w:r w:rsidR="000E2439" w:rsidRPr="00561642">
        <w:rPr>
          <w:rFonts w:ascii="Times New Roman" w:hAnsi="Times New Roman" w:cs="Times New Roman"/>
          <w:szCs w:val="24"/>
        </w:rPr>
        <w:t xml:space="preserve">para </w:t>
      </w:r>
      <w:r w:rsidR="00FA4202" w:rsidRPr="00561642">
        <w:rPr>
          <w:rFonts w:ascii="Times New Roman" w:hAnsi="Times New Roman" w:cs="Times New Roman"/>
          <w:szCs w:val="24"/>
        </w:rPr>
        <w:t>solução que se busca com a presente contratação.</w:t>
      </w:r>
    </w:p>
    <w:p w14:paraId="48A5A5E5" w14:textId="5816E999" w:rsidR="00951EB3" w:rsidRPr="00561642" w:rsidRDefault="001006B9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Dentro disto,</w:t>
      </w:r>
      <w:r w:rsidR="00C0192B" w:rsidRPr="00561642">
        <w:rPr>
          <w:rFonts w:ascii="Times New Roman" w:hAnsi="Times New Roman" w:cs="Times New Roman"/>
          <w:szCs w:val="24"/>
        </w:rPr>
        <w:t xml:space="preserve"> a instrução do procedimento depende do levantamento de questões relativas aos núcleos ocupados, das famílias residentes e da construção de material técnico como proposta de regularização.</w:t>
      </w:r>
    </w:p>
    <w:p w14:paraId="0FDE5101" w14:textId="36F4C246" w:rsidR="001006B9" w:rsidRPr="00561642" w:rsidRDefault="001006B9" w:rsidP="000E2439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lastRenderedPageBreak/>
        <w:t>Logo, a despeito do procedimento ser complexo e composto por vários atos, o fato de serem todos voltados para o objetivo final de titulação das famílias justifica a construção de um contrato de fim, cujo escopo é a regularização fundiária do núcleo.</w:t>
      </w:r>
    </w:p>
    <w:p w14:paraId="3AD7D073" w14:textId="4FB166BA" w:rsidR="005164CC" w:rsidRPr="00561642" w:rsidRDefault="005164CC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Nesta seara, a contratação de empresas especial</w:t>
      </w:r>
      <w:r w:rsidR="004273B5" w:rsidRPr="00561642">
        <w:rPr>
          <w:rFonts w:ascii="Times New Roman" w:hAnsi="Times New Roman" w:cs="Times New Roman"/>
          <w:szCs w:val="24"/>
        </w:rPr>
        <w:t xml:space="preserve">izadas é fundamental pela garantia da escala necessária para a efetivação do processo de regularização </w:t>
      </w:r>
      <w:r w:rsidR="000E2439" w:rsidRPr="00561642">
        <w:rPr>
          <w:rFonts w:ascii="Times New Roman" w:hAnsi="Times New Roman" w:cs="Times New Roman"/>
          <w:szCs w:val="24"/>
        </w:rPr>
        <w:t>em âmbito municipal.</w:t>
      </w:r>
    </w:p>
    <w:p w14:paraId="3DD9D78F" w14:textId="07AC3618" w:rsidR="005057D6" w:rsidRPr="00561642" w:rsidRDefault="004273B5" w:rsidP="005057D6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Ademais,</w:t>
      </w:r>
      <w:r w:rsidR="005057D6" w:rsidRPr="00561642">
        <w:rPr>
          <w:rFonts w:ascii="Times New Roman" w:hAnsi="Times New Roman" w:cs="Times New Roman"/>
          <w:szCs w:val="24"/>
        </w:rPr>
        <w:t xml:space="preserve"> há empresas de regularização fundiária, com diversas configurações empresariais, tais como: Sociedade Anônima, Sociedade Limitada, Microempresas, Empresas de Pequeno Porte e Cooperativas</w:t>
      </w:r>
      <w:r w:rsidR="00137A82" w:rsidRPr="00561642">
        <w:rPr>
          <w:rFonts w:ascii="Times New Roman" w:hAnsi="Times New Roman" w:cs="Times New Roman"/>
          <w:szCs w:val="24"/>
        </w:rPr>
        <w:t>.</w:t>
      </w:r>
    </w:p>
    <w:p w14:paraId="26C7B755" w14:textId="4C9BF0FB" w:rsidR="005057D6" w:rsidRPr="00561642" w:rsidRDefault="005057D6" w:rsidP="00137A82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Para fazer uso dos benefícios da Lei Complementar nº 123/2006, as Microempresas (ME), Empresas de Pequeno Porte (EPP) ou Cooperativas</w:t>
      </w:r>
      <w:r w:rsidR="00F52BBB" w:rsidRPr="00561642">
        <w:rPr>
          <w:rFonts w:ascii="Times New Roman" w:hAnsi="Times New Roman" w:cs="Times New Roman"/>
          <w:szCs w:val="24"/>
        </w:rPr>
        <w:t>, deverão apresentar: i)</w:t>
      </w:r>
      <w:r w:rsidRPr="00561642">
        <w:rPr>
          <w:rFonts w:ascii="Times New Roman" w:hAnsi="Times New Roman" w:cs="Times New Roman"/>
          <w:szCs w:val="24"/>
        </w:rPr>
        <w:t xml:space="preserve"> Declaração de Enquadramento na Condição de Microempresa, Empresa de Pequeno Porte ou Cooperativa, </w:t>
      </w:r>
      <w:r w:rsidR="00F52BBB" w:rsidRPr="00561642">
        <w:rPr>
          <w:rFonts w:ascii="Times New Roman" w:hAnsi="Times New Roman" w:cs="Times New Roman"/>
          <w:szCs w:val="24"/>
        </w:rPr>
        <w:t xml:space="preserve">II) </w:t>
      </w:r>
      <w:r w:rsidRPr="00561642">
        <w:rPr>
          <w:rFonts w:ascii="Times New Roman" w:hAnsi="Times New Roman" w:cs="Times New Roman"/>
          <w:szCs w:val="24"/>
        </w:rPr>
        <w:t xml:space="preserve">Certidão </w:t>
      </w:r>
      <w:r w:rsidR="00F52BBB" w:rsidRPr="00561642">
        <w:rPr>
          <w:rFonts w:ascii="Times New Roman" w:hAnsi="Times New Roman" w:cs="Times New Roman"/>
          <w:szCs w:val="24"/>
        </w:rPr>
        <w:t>da</w:t>
      </w:r>
      <w:r w:rsidRPr="00561642">
        <w:rPr>
          <w:rFonts w:ascii="Times New Roman" w:hAnsi="Times New Roman" w:cs="Times New Roman"/>
          <w:szCs w:val="24"/>
        </w:rPr>
        <w:t xml:space="preserve"> Junta Comercial </w:t>
      </w:r>
      <w:proofErr w:type="spellStart"/>
      <w:r w:rsidR="00F52BBB" w:rsidRPr="00561642">
        <w:rPr>
          <w:rFonts w:ascii="Times New Roman" w:hAnsi="Times New Roman" w:cs="Times New Roman"/>
          <w:szCs w:val="24"/>
        </w:rPr>
        <w:t>iii</w:t>
      </w:r>
      <w:proofErr w:type="spellEnd"/>
      <w:r w:rsidR="00F52BBB" w:rsidRPr="00561642">
        <w:rPr>
          <w:rFonts w:ascii="Times New Roman" w:hAnsi="Times New Roman" w:cs="Times New Roman"/>
          <w:szCs w:val="24"/>
        </w:rPr>
        <w:t xml:space="preserve">) </w:t>
      </w:r>
      <w:r w:rsidRPr="00561642">
        <w:rPr>
          <w:rFonts w:ascii="Times New Roman" w:hAnsi="Times New Roman" w:cs="Times New Roman"/>
          <w:szCs w:val="24"/>
        </w:rPr>
        <w:t>Balanço Patrimonial e Demonstrações Contábeis do último exercício social, já exigíveis, na fase de habilitação.</w:t>
      </w:r>
    </w:p>
    <w:p w14:paraId="1E44E381" w14:textId="52AC61FE" w:rsidR="00137A82" w:rsidRPr="00561642" w:rsidRDefault="00137A82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Por tratar-se de serviço comum de engenharia poderão habilitar-se empresas de engenharia que possuam atestados de execução de serviços de regularização fundiária de no mínimo </w:t>
      </w:r>
      <w:proofErr w:type="spellStart"/>
      <w:r w:rsidR="002014BE" w:rsidRPr="00561642">
        <w:rPr>
          <w:rFonts w:ascii="Times New Roman" w:hAnsi="Times New Roman" w:cs="Times New Roman"/>
          <w:szCs w:val="24"/>
          <w:highlight w:val="yellow"/>
        </w:rPr>
        <w:t>xxx</w:t>
      </w:r>
      <w:proofErr w:type="spellEnd"/>
      <w:r w:rsidR="000E2439" w:rsidRPr="00561642">
        <w:rPr>
          <w:rFonts w:ascii="Times New Roman" w:hAnsi="Times New Roman" w:cs="Times New Roman"/>
          <w:szCs w:val="24"/>
          <w:highlight w:val="yellow"/>
        </w:rPr>
        <w:t>(50% do total a ser regularizado)</w:t>
      </w:r>
      <w:r w:rsidRPr="00561642">
        <w:rPr>
          <w:rFonts w:ascii="Times New Roman" w:hAnsi="Times New Roman" w:cs="Times New Roman"/>
          <w:szCs w:val="24"/>
        </w:rPr>
        <w:t xml:space="preserve"> lotes.</w:t>
      </w:r>
    </w:p>
    <w:p w14:paraId="63BEBB92" w14:textId="77777777" w:rsidR="000E2439" w:rsidRPr="00561642" w:rsidRDefault="000E2439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</w:p>
    <w:p w14:paraId="5BA19440" w14:textId="2617ED14" w:rsidR="004E0A1B" w:rsidRPr="00561642" w:rsidRDefault="008637FC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Estimativa </w:t>
      </w:r>
      <w:r w:rsidR="004E0A1B" w:rsidRPr="00561642">
        <w:rPr>
          <w:rFonts w:ascii="Times New Roman" w:hAnsi="Times New Roman" w:cs="Times New Roman"/>
          <w:b/>
          <w:szCs w:val="24"/>
        </w:rPr>
        <w:t>d</w:t>
      </w:r>
      <w:r w:rsidR="003200B9">
        <w:rPr>
          <w:rFonts w:ascii="Times New Roman" w:hAnsi="Times New Roman" w:cs="Times New Roman"/>
          <w:b/>
          <w:szCs w:val="24"/>
        </w:rPr>
        <w:t>e preços ou preços referenciais:</w:t>
      </w:r>
    </w:p>
    <w:p w14:paraId="14901EBB" w14:textId="09C8F0A5" w:rsidR="00710CF9" w:rsidRPr="00561642" w:rsidRDefault="00AE45C2" w:rsidP="00826927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P</w:t>
      </w:r>
      <w:r w:rsidR="009C302A" w:rsidRPr="00561642">
        <w:rPr>
          <w:rFonts w:ascii="Times New Roman" w:hAnsi="Times New Roman" w:cs="Times New Roman"/>
          <w:szCs w:val="24"/>
        </w:rPr>
        <w:t>ara a ex</w:t>
      </w:r>
      <w:r w:rsidR="00925E09" w:rsidRPr="00561642">
        <w:rPr>
          <w:rFonts w:ascii="Times New Roman" w:hAnsi="Times New Roman" w:cs="Times New Roman"/>
          <w:szCs w:val="24"/>
        </w:rPr>
        <w:t>e</w:t>
      </w:r>
      <w:r w:rsidRPr="00561642">
        <w:rPr>
          <w:rFonts w:ascii="Times New Roman" w:hAnsi="Times New Roman" w:cs="Times New Roman"/>
          <w:szCs w:val="24"/>
        </w:rPr>
        <w:t xml:space="preserve">cução dos trabalhos de REURB-S será utilizado o valor máximo previsto por título no </w:t>
      </w:r>
      <w:r w:rsidRPr="00561642">
        <w:rPr>
          <w:rFonts w:ascii="Times New Roman" w:hAnsi="Times New Roman" w:cs="Times New Roman"/>
          <w:szCs w:val="24"/>
          <w:highlight w:val="yellow"/>
        </w:rPr>
        <w:t xml:space="preserve">Convênio nº </w:t>
      </w:r>
      <w:proofErr w:type="spellStart"/>
      <w:r w:rsidRPr="00561642">
        <w:rPr>
          <w:rFonts w:ascii="Times New Roman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hAnsi="Times New Roman" w:cs="Times New Roman"/>
          <w:szCs w:val="24"/>
        </w:rPr>
        <w:t xml:space="preserve"> assinado em </w:t>
      </w:r>
      <w:proofErr w:type="spellStart"/>
      <w:r w:rsidRPr="00561642">
        <w:rPr>
          <w:rFonts w:ascii="Times New Roman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hAnsi="Times New Roman" w:cs="Times New Roman"/>
          <w:szCs w:val="24"/>
          <w:highlight w:val="yellow"/>
        </w:rPr>
        <w:t>/</w:t>
      </w:r>
      <w:proofErr w:type="spellStart"/>
      <w:r w:rsidRPr="00561642">
        <w:rPr>
          <w:rFonts w:ascii="Times New Roman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hAnsi="Times New Roman" w:cs="Times New Roman"/>
          <w:szCs w:val="24"/>
          <w:highlight w:val="yellow"/>
        </w:rPr>
        <w:t>/202x</w:t>
      </w:r>
      <w:r w:rsidRPr="00561642">
        <w:rPr>
          <w:rFonts w:ascii="Times New Roman" w:hAnsi="Times New Roman" w:cs="Times New Roman"/>
          <w:szCs w:val="24"/>
        </w:rPr>
        <w:t xml:space="preserve"> com a </w:t>
      </w:r>
      <w:r w:rsidR="00D375FD">
        <w:rPr>
          <w:rFonts w:ascii="Times New Roman" w:hAnsi="Times New Roman" w:cs="Times New Roman"/>
          <w:szCs w:val="24"/>
        </w:rPr>
        <w:t>COHAPAR</w:t>
      </w:r>
      <w:r w:rsidR="00826927" w:rsidRPr="00561642">
        <w:rPr>
          <w:rFonts w:ascii="Times New Roman" w:hAnsi="Times New Roman" w:cs="Times New Roman"/>
          <w:szCs w:val="24"/>
        </w:rPr>
        <w:t xml:space="preserve"> que foi elaborado a partir da </w:t>
      </w:r>
      <w:r w:rsidR="00710CF9" w:rsidRPr="00561642">
        <w:rPr>
          <w:rFonts w:ascii="Times New Roman" w:hAnsi="Times New Roman" w:cs="Times New Roman"/>
          <w:szCs w:val="24"/>
        </w:rPr>
        <w:t>utilização de planilha de composição d</w:t>
      </w:r>
      <w:r w:rsidR="00D12129">
        <w:rPr>
          <w:rFonts w:ascii="Times New Roman" w:hAnsi="Times New Roman" w:cs="Times New Roman"/>
          <w:szCs w:val="24"/>
        </w:rPr>
        <w:t>e</w:t>
      </w:r>
      <w:r w:rsidR="00710CF9" w:rsidRPr="00561642">
        <w:rPr>
          <w:rFonts w:ascii="Times New Roman" w:hAnsi="Times New Roman" w:cs="Times New Roman"/>
          <w:szCs w:val="24"/>
        </w:rPr>
        <w:t xml:space="preserve"> custos do serviço de regularização</w:t>
      </w:r>
      <w:r w:rsidR="00D12129">
        <w:rPr>
          <w:rFonts w:ascii="Times New Roman" w:hAnsi="Times New Roman" w:cs="Times New Roman"/>
          <w:szCs w:val="24"/>
        </w:rPr>
        <w:t xml:space="preserve"> fundiária</w:t>
      </w:r>
      <w:r w:rsidR="00826927" w:rsidRPr="00561642">
        <w:rPr>
          <w:rFonts w:ascii="Times New Roman" w:hAnsi="Times New Roman" w:cs="Times New Roman"/>
          <w:szCs w:val="24"/>
        </w:rPr>
        <w:t>.</w:t>
      </w:r>
    </w:p>
    <w:p w14:paraId="6EF86045" w14:textId="1B6AFF7B" w:rsidR="00607825" w:rsidRPr="00561642" w:rsidRDefault="00AB0A7A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Por fim</w:t>
      </w:r>
      <w:r w:rsidR="009A2CC1" w:rsidRPr="00561642">
        <w:rPr>
          <w:rFonts w:ascii="Times New Roman" w:hAnsi="Times New Roman" w:cs="Times New Roman"/>
          <w:szCs w:val="24"/>
        </w:rPr>
        <w:t>,</w:t>
      </w:r>
      <w:r w:rsidR="004E0A1B" w:rsidRPr="00561642">
        <w:rPr>
          <w:rFonts w:ascii="Times New Roman" w:hAnsi="Times New Roman" w:cs="Times New Roman"/>
          <w:szCs w:val="24"/>
        </w:rPr>
        <w:t xml:space="preserve"> dado a seu caráter </w:t>
      </w:r>
      <w:r w:rsidR="00826927" w:rsidRPr="00561642">
        <w:rPr>
          <w:rFonts w:ascii="Times New Roman" w:hAnsi="Times New Roman" w:cs="Times New Roman"/>
          <w:szCs w:val="24"/>
        </w:rPr>
        <w:t>aberto</w:t>
      </w:r>
      <w:r w:rsidRPr="00561642">
        <w:rPr>
          <w:rFonts w:ascii="Times New Roman" w:hAnsi="Times New Roman" w:cs="Times New Roman"/>
          <w:szCs w:val="24"/>
        </w:rPr>
        <w:t>,</w:t>
      </w:r>
      <w:r w:rsidR="00B82243" w:rsidRPr="00561642">
        <w:rPr>
          <w:rFonts w:ascii="Times New Roman" w:hAnsi="Times New Roman" w:cs="Times New Roman"/>
          <w:szCs w:val="24"/>
        </w:rPr>
        <w:t xml:space="preserve"> </w:t>
      </w:r>
      <w:r w:rsidR="003238C9" w:rsidRPr="00561642">
        <w:rPr>
          <w:rFonts w:ascii="Times New Roman" w:hAnsi="Times New Roman" w:cs="Times New Roman"/>
          <w:szCs w:val="24"/>
        </w:rPr>
        <w:t xml:space="preserve">o preço máximo será de </w:t>
      </w:r>
      <w:r w:rsidR="003238C9" w:rsidRPr="00561642">
        <w:rPr>
          <w:rFonts w:ascii="Times New Roman" w:hAnsi="Times New Roman" w:cs="Times New Roman"/>
          <w:szCs w:val="24"/>
          <w:highlight w:val="yellow"/>
        </w:rPr>
        <w:t xml:space="preserve">R$ </w:t>
      </w:r>
      <w:proofErr w:type="gramStart"/>
      <w:r w:rsidR="003238C9" w:rsidRPr="00561642">
        <w:rPr>
          <w:rFonts w:ascii="Times New Roman" w:hAnsi="Times New Roman" w:cs="Times New Roman"/>
          <w:szCs w:val="24"/>
          <w:highlight w:val="yellow"/>
        </w:rPr>
        <w:t>XXX.</w:t>
      </w:r>
      <w:proofErr w:type="gramEnd"/>
      <w:r w:rsidR="003238C9" w:rsidRPr="00561642">
        <w:rPr>
          <w:rFonts w:ascii="Times New Roman" w:hAnsi="Times New Roman" w:cs="Times New Roman"/>
          <w:szCs w:val="24"/>
          <w:highlight w:val="yellow"/>
        </w:rPr>
        <w:t>XXX,</w:t>
      </w:r>
      <w:r w:rsidR="00D12129">
        <w:rPr>
          <w:rFonts w:ascii="Times New Roman" w:hAnsi="Times New Roman" w:cs="Times New Roman"/>
          <w:szCs w:val="24"/>
          <w:highlight w:val="yellow"/>
        </w:rPr>
        <w:t>00</w:t>
      </w:r>
      <w:r w:rsidR="00560DF5" w:rsidRPr="00561642">
        <w:rPr>
          <w:rFonts w:ascii="Times New Roman" w:hAnsi="Times New Roman" w:cs="Times New Roman"/>
          <w:szCs w:val="24"/>
          <w:highlight w:val="yellow"/>
        </w:rPr>
        <w:t>.</w:t>
      </w:r>
      <w:r w:rsidR="004E0A1B" w:rsidRPr="00561642">
        <w:rPr>
          <w:rFonts w:ascii="Times New Roman" w:hAnsi="Times New Roman" w:cs="Times New Roman"/>
          <w:szCs w:val="24"/>
        </w:rPr>
        <w:t xml:space="preserve">  </w:t>
      </w:r>
    </w:p>
    <w:p w14:paraId="3A383919" w14:textId="77777777" w:rsidR="000E2439" w:rsidRPr="00561642" w:rsidRDefault="000E2439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</w:p>
    <w:p w14:paraId="6E5B0DD2" w14:textId="77777777" w:rsidR="004E0A1B" w:rsidRPr="00561642" w:rsidRDefault="004E0A1B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Descrição da solução como um todo: </w:t>
      </w:r>
    </w:p>
    <w:p w14:paraId="2318FA7E" w14:textId="6A252E46" w:rsidR="00584395" w:rsidRPr="00561642" w:rsidRDefault="00584395" w:rsidP="004F7A8D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A demanda por regularização fundiária no </w:t>
      </w:r>
      <w:r w:rsidR="000E2439" w:rsidRPr="00561642">
        <w:rPr>
          <w:rFonts w:ascii="Times New Roman" w:eastAsia="Arial" w:hAnsi="Times New Roman" w:cs="Times New Roman"/>
          <w:szCs w:val="24"/>
        </w:rPr>
        <w:t>Município é</w:t>
      </w:r>
      <w:r w:rsidRPr="00561642">
        <w:rPr>
          <w:rFonts w:ascii="Times New Roman" w:eastAsia="Arial" w:hAnsi="Times New Roman" w:cs="Times New Roman"/>
          <w:szCs w:val="24"/>
        </w:rPr>
        <w:t xml:space="preserve"> identificada a partir dos dados cadastrados no Sistema de Informações sobre Necessidades Hab</w:t>
      </w:r>
      <w:r w:rsidR="000E2439" w:rsidRPr="00561642">
        <w:rPr>
          <w:rFonts w:ascii="Times New Roman" w:eastAsia="Arial" w:hAnsi="Times New Roman" w:cs="Times New Roman"/>
          <w:szCs w:val="24"/>
        </w:rPr>
        <w:t xml:space="preserve">itacionais do Paraná – SISPEHIS da </w:t>
      </w:r>
      <w:r w:rsidR="00D375FD">
        <w:rPr>
          <w:rFonts w:ascii="Times New Roman" w:eastAsia="Arial" w:hAnsi="Times New Roman" w:cs="Times New Roman"/>
          <w:szCs w:val="24"/>
        </w:rPr>
        <w:t>COHAPAR</w:t>
      </w:r>
      <w:r w:rsidR="000E2439" w:rsidRPr="00561642">
        <w:rPr>
          <w:rFonts w:ascii="Times New Roman" w:eastAsia="Arial" w:hAnsi="Times New Roman" w:cs="Times New Roman"/>
          <w:szCs w:val="24"/>
        </w:rPr>
        <w:t xml:space="preserve">, o qual contabiliza </w:t>
      </w:r>
      <w:proofErr w:type="spellStart"/>
      <w:r w:rsidR="000E2439" w:rsidRPr="00561642">
        <w:rPr>
          <w:rFonts w:ascii="Times New Roman" w:eastAsia="Arial" w:hAnsi="Times New Roman" w:cs="Times New Roman"/>
          <w:szCs w:val="24"/>
          <w:highlight w:val="yellow"/>
        </w:rPr>
        <w:t>xxx</w:t>
      </w:r>
      <w:proofErr w:type="spellEnd"/>
      <w:r w:rsidR="000E2439" w:rsidRPr="00561642">
        <w:rPr>
          <w:rFonts w:ascii="Times New Roman" w:eastAsia="Arial" w:hAnsi="Times New Roman" w:cs="Times New Roman"/>
          <w:szCs w:val="24"/>
        </w:rPr>
        <w:t xml:space="preserve"> lotes passíveis de regularização. Tais dados justificam a necessidade de </w:t>
      </w:r>
      <w:r w:rsidRPr="00561642">
        <w:rPr>
          <w:rFonts w:ascii="Times New Roman" w:eastAsia="Arial" w:hAnsi="Times New Roman" w:cs="Times New Roman"/>
          <w:szCs w:val="24"/>
        </w:rPr>
        <w:t>prestação de serviços em atendimento à problemática específica existente no município</w:t>
      </w:r>
      <w:r w:rsidR="000E2439" w:rsidRPr="00561642">
        <w:rPr>
          <w:rFonts w:ascii="Times New Roman" w:eastAsia="Arial" w:hAnsi="Times New Roman" w:cs="Times New Roman"/>
          <w:szCs w:val="24"/>
        </w:rPr>
        <w:t>.</w:t>
      </w:r>
    </w:p>
    <w:p w14:paraId="440F72EC" w14:textId="07C7E90A" w:rsidR="008A7A1D" w:rsidRPr="00561642" w:rsidRDefault="00263F4F" w:rsidP="00DE4F5D">
      <w:pPr>
        <w:widowControl w:val="0"/>
        <w:autoSpaceDE w:val="0"/>
        <w:autoSpaceDN w:val="0"/>
        <w:spacing w:before="240"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Consideran</w:t>
      </w:r>
      <w:r w:rsidR="000166B0" w:rsidRPr="00561642">
        <w:rPr>
          <w:rFonts w:ascii="Times New Roman" w:hAnsi="Times New Roman" w:cs="Times New Roman"/>
          <w:szCs w:val="24"/>
        </w:rPr>
        <w:t>do as etapas já efetivadas pelo município</w:t>
      </w:r>
      <w:r w:rsidRPr="00561642">
        <w:rPr>
          <w:rFonts w:ascii="Times New Roman" w:hAnsi="Times New Roman" w:cs="Times New Roman"/>
          <w:szCs w:val="24"/>
        </w:rPr>
        <w:t xml:space="preserve"> e </w:t>
      </w:r>
      <w:r w:rsidR="00DE4F5D" w:rsidRPr="00561642">
        <w:rPr>
          <w:rFonts w:ascii="Times New Roman" w:hAnsi="Times New Roman" w:cs="Times New Roman"/>
          <w:szCs w:val="24"/>
        </w:rPr>
        <w:t>o conv</w:t>
      </w:r>
      <w:r w:rsidR="000E2439" w:rsidRPr="00561642">
        <w:rPr>
          <w:rFonts w:ascii="Times New Roman" w:hAnsi="Times New Roman" w:cs="Times New Roman"/>
          <w:szCs w:val="24"/>
        </w:rPr>
        <w:t>ê</w:t>
      </w:r>
      <w:r w:rsidR="00DE4F5D" w:rsidRPr="00561642">
        <w:rPr>
          <w:rFonts w:ascii="Times New Roman" w:hAnsi="Times New Roman" w:cs="Times New Roman"/>
          <w:szCs w:val="24"/>
        </w:rPr>
        <w:t xml:space="preserve">nio assinado com a </w:t>
      </w:r>
      <w:r w:rsidR="00D375FD">
        <w:rPr>
          <w:rFonts w:ascii="Times New Roman" w:hAnsi="Times New Roman" w:cs="Times New Roman"/>
          <w:szCs w:val="24"/>
        </w:rPr>
        <w:t>COHAPAR</w:t>
      </w:r>
      <w:r w:rsidR="00DE4F5D" w:rsidRPr="00561642">
        <w:rPr>
          <w:rFonts w:ascii="Times New Roman" w:hAnsi="Times New Roman" w:cs="Times New Roman"/>
          <w:szCs w:val="24"/>
        </w:rPr>
        <w:t xml:space="preserve">, além das </w:t>
      </w:r>
      <w:r w:rsidRPr="00561642">
        <w:rPr>
          <w:rFonts w:ascii="Times New Roman" w:hAnsi="Times New Roman" w:cs="Times New Roman"/>
          <w:szCs w:val="24"/>
        </w:rPr>
        <w:t xml:space="preserve">características dos núcleos urbanos </w:t>
      </w:r>
      <w:r w:rsidRPr="00561642">
        <w:rPr>
          <w:rFonts w:ascii="Times New Roman" w:eastAsia="Arial" w:hAnsi="Times New Roman" w:cs="Times New Roman"/>
          <w:szCs w:val="24"/>
        </w:rPr>
        <w:t xml:space="preserve">irregulares objeto do Programa </w:t>
      </w:r>
      <w:r w:rsidR="00DE4F5D" w:rsidRPr="00561642">
        <w:rPr>
          <w:rFonts w:ascii="Times New Roman" w:eastAsia="Arial" w:hAnsi="Times New Roman" w:cs="Times New Roman"/>
          <w:szCs w:val="24"/>
        </w:rPr>
        <w:t xml:space="preserve">Paraná </w:t>
      </w:r>
      <w:r w:rsidR="004817B4" w:rsidRPr="00561642">
        <w:rPr>
          <w:rFonts w:ascii="Times New Roman" w:eastAsia="Arial" w:hAnsi="Times New Roman" w:cs="Times New Roman"/>
          <w:szCs w:val="24"/>
        </w:rPr>
        <w:t>Regularizado</w:t>
      </w:r>
      <w:r w:rsidRPr="00561642">
        <w:rPr>
          <w:rFonts w:ascii="Times New Roman" w:eastAsia="Arial" w:hAnsi="Times New Roman" w:cs="Times New Roman"/>
          <w:szCs w:val="24"/>
        </w:rPr>
        <w:t xml:space="preserve">, a contratação deverá ser de empresa para execução de serviços técnicos, </w:t>
      </w:r>
      <w:r w:rsidR="00DE4F5D" w:rsidRPr="00561642">
        <w:rPr>
          <w:rFonts w:ascii="Times New Roman" w:eastAsia="Arial" w:hAnsi="Times New Roman" w:cs="Times New Roman"/>
          <w:szCs w:val="24"/>
        </w:rPr>
        <w:t xml:space="preserve">sociais, </w:t>
      </w:r>
      <w:r w:rsidRPr="00561642">
        <w:rPr>
          <w:rFonts w:ascii="Times New Roman" w:eastAsia="Arial" w:hAnsi="Times New Roman" w:cs="Times New Roman"/>
          <w:szCs w:val="24"/>
        </w:rPr>
        <w:t>administrativos e jurídicos necessários para promover a Regularização Fundiária de Interesse Social da</w:t>
      </w:r>
      <w:r w:rsidR="00DE4F5D" w:rsidRPr="00561642">
        <w:rPr>
          <w:rFonts w:ascii="Times New Roman" w:eastAsia="Arial" w:hAnsi="Times New Roman" w:cs="Times New Roman"/>
          <w:szCs w:val="24"/>
        </w:rPr>
        <w:t>(</w:t>
      </w:r>
      <w:r w:rsidRPr="00561642">
        <w:rPr>
          <w:rFonts w:ascii="Times New Roman" w:eastAsia="Arial" w:hAnsi="Times New Roman" w:cs="Times New Roman"/>
          <w:szCs w:val="24"/>
        </w:rPr>
        <w:t>s</w:t>
      </w:r>
      <w:r w:rsidR="00DE4F5D" w:rsidRPr="00561642">
        <w:rPr>
          <w:rFonts w:ascii="Times New Roman" w:eastAsia="Arial" w:hAnsi="Times New Roman" w:cs="Times New Roman"/>
          <w:szCs w:val="24"/>
        </w:rPr>
        <w:t>)</w:t>
      </w:r>
      <w:r w:rsidRPr="00561642">
        <w:rPr>
          <w:rFonts w:ascii="Times New Roman" w:eastAsia="Arial" w:hAnsi="Times New Roman" w:cs="Times New Roman"/>
          <w:szCs w:val="24"/>
        </w:rPr>
        <w:t xml:space="preserve"> área</w:t>
      </w:r>
      <w:r w:rsidR="00DE4F5D" w:rsidRPr="00561642">
        <w:rPr>
          <w:rFonts w:ascii="Times New Roman" w:eastAsia="Arial" w:hAnsi="Times New Roman" w:cs="Times New Roman"/>
          <w:szCs w:val="24"/>
        </w:rPr>
        <w:t>(</w:t>
      </w:r>
      <w:r w:rsidRPr="00561642">
        <w:rPr>
          <w:rFonts w:ascii="Times New Roman" w:eastAsia="Arial" w:hAnsi="Times New Roman" w:cs="Times New Roman"/>
          <w:szCs w:val="24"/>
        </w:rPr>
        <w:t>s</w:t>
      </w:r>
      <w:r w:rsidR="00DE4F5D" w:rsidRPr="00561642">
        <w:rPr>
          <w:rFonts w:ascii="Times New Roman" w:eastAsia="Arial" w:hAnsi="Times New Roman" w:cs="Times New Roman"/>
          <w:szCs w:val="24"/>
        </w:rPr>
        <w:t>)</w:t>
      </w:r>
      <w:r w:rsidRPr="00561642">
        <w:rPr>
          <w:rFonts w:ascii="Times New Roman" w:eastAsia="Arial" w:hAnsi="Times New Roman" w:cs="Times New Roman"/>
          <w:szCs w:val="24"/>
        </w:rPr>
        <w:t xml:space="preserve"> localizada</w:t>
      </w:r>
      <w:r w:rsidR="00DE4F5D" w:rsidRPr="00561642">
        <w:rPr>
          <w:rFonts w:ascii="Times New Roman" w:eastAsia="Arial" w:hAnsi="Times New Roman" w:cs="Times New Roman"/>
          <w:szCs w:val="24"/>
        </w:rPr>
        <w:t>(</w:t>
      </w:r>
      <w:r w:rsidRPr="00561642">
        <w:rPr>
          <w:rFonts w:ascii="Times New Roman" w:eastAsia="Arial" w:hAnsi="Times New Roman" w:cs="Times New Roman"/>
          <w:szCs w:val="24"/>
        </w:rPr>
        <w:t>s</w:t>
      </w:r>
      <w:r w:rsidR="00DE4F5D" w:rsidRPr="00561642">
        <w:rPr>
          <w:rFonts w:ascii="Times New Roman" w:eastAsia="Arial" w:hAnsi="Times New Roman" w:cs="Times New Roman"/>
          <w:szCs w:val="24"/>
        </w:rPr>
        <w:t>)</w:t>
      </w:r>
      <w:r w:rsidR="000166B0" w:rsidRPr="00561642">
        <w:rPr>
          <w:rFonts w:ascii="Times New Roman" w:eastAsia="Arial" w:hAnsi="Times New Roman" w:cs="Times New Roman"/>
          <w:szCs w:val="24"/>
        </w:rPr>
        <w:t>, nesse m</w:t>
      </w:r>
      <w:r w:rsidR="00D375FD">
        <w:rPr>
          <w:rFonts w:ascii="Times New Roman" w:eastAsia="Arial" w:hAnsi="Times New Roman" w:cs="Times New Roman"/>
          <w:szCs w:val="24"/>
        </w:rPr>
        <w:t>unicípio</w:t>
      </w:r>
      <w:r w:rsidR="004817B4" w:rsidRPr="00561642">
        <w:rPr>
          <w:rFonts w:ascii="Times New Roman" w:eastAsia="Arial" w:hAnsi="Times New Roman" w:cs="Times New Roman"/>
          <w:szCs w:val="24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notadamente aqueles serviços previstos na Lei n° 13.465/2017 e Decreto n° 9.310/2018, além de outros necessários por força de legislação local.</w:t>
      </w:r>
      <w:r w:rsidR="008A7A1D" w:rsidRPr="00561642">
        <w:rPr>
          <w:rFonts w:ascii="Times New Roman" w:eastAsia="Arial" w:hAnsi="Times New Roman" w:cs="Times New Roman"/>
          <w:szCs w:val="24"/>
        </w:rPr>
        <w:t xml:space="preserve"> </w:t>
      </w:r>
    </w:p>
    <w:p w14:paraId="775692D5" w14:textId="29DF0B05" w:rsidR="008A7A1D" w:rsidRPr="00561642" w:rsidRDefault="008A7A1D" w:rsidP="004F7A8D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Desta feita, considerando a capacidade da equipe da </w:t>
      </w:r>
      <w:r w:rsidR="000166B0" w:rsidRPr="00561642">
        <w:rPr>
          <w:rFonts w:ascii="Times New Roman" w:eastAsia="Arial" w:hAnsi="Times New Roman" w:cs="Times New Roman"/>
          <w:szCs w:val="24"/>
        </w:rPr>
        <w:t>Prefeitura Municipal para a</w:t>
      </w:r>
      <w:r w:rsidRPr="00561642">
        <w:rPr>
          <w:rFonts w:ascii="Times New Roman" w:eastAsia="Arial" w:hAnsi="Times New Roman" w:cs="Times New Roman"/>
          <w:szCs w:val="24"/>
        </w:rPr>
        <w:t xml:space="preserve"> Regularização Fundiária, tendo em vista o volume de trabalho, reafirmamos a necessidade da disponibilização de tais atividades por meio de empresa contratada, de modo que a execução contratual se inicie em 60 dias. </w:t>
      </w:r>
    </w:p>
    <w:p w14:paraId="52F63DD9" w14:textId="6B153BD3" w:rsidR="006A33EA" w:rsidRDefault="004E0A1B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lastRenderedPageBreak/>
        <w:t>Os elementos técnicos necessários à realização do procedimento licitatório e a</w:t>
      </w:r>
      <w:r w:rsidR="000166B0" w:rsidRPr="00561642">
        <w:rPr>
          <w:rFonts w:ascii="Times New Roman" w:hAnsi="Times New Roman" w:cs="Times New Roman"/>
          <w:szCs w:val="24"/>
        </w:rPr>
        <w:t>o atendimento do estabelecido na Lei</w:t>
      </w:r>
      <w:r w:rsidR="00EB3022" w:rsidRPr="00561642">
        <w:rPr>
          <w:rFonts w:ascii="Times New Roman" w:hAnsi="Times New Roman" w:cs="Times New Roman"/>
          <w:szCs w:val="24"/>
        </w:rPr>
        <w:t xml:space="preserve"> nº</w:t>
      </w:r>
      <w:r w:rsidR="000166B0" w:rsidRPr="00561642">
        <w:rPr>
          <w:rFonts w:ascii="Times New Roman" w:hAnsi="Times New Roman" w:cs="Times New Roman"/>
          <w:szCs w:val="24"/>
        </w:rPr>
        <w:t xml:space="preserve"> 13.465/2</w:t>
      </w:r>
      <w:r w:rsidR="00D375FD">
        <w:rPr>
          <w:rFonts w:ascii="Times New Roman" w:hAnsi="Times New Roman" w:cs="Times New Roman"/>
          <w:szCs w:val="24"/>
        </w:rPr>
        <w:t>017</w:t>
      </w:r>
      <w:r w:rsidRPr="00561642">
        <w:rPr>
          <w:rFonts w:ascii="Times New Roman" w:hAnsi="Times New Roman" w:cs="Times New Roman"/>
          <w:szCs w:val="24"/>
        </w:rPr>
        <w:t xml:space="preserve"> deverão ser apensados pelos diferentes departamentos, sendo de responsabilidade destes a análise e conferência dos mesmos.</w:t>
      </w:r>
    </w:p>
    <w:p w14:paraId="1196CC95" w14:textId="77777777" w:rsidR="007C6E02" w:rsidRPr="00561642" w:rsidRDefault="007C6E02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</w:p>
    <w:p w14:paraId="0F8E2B2D" w14:textId="6B17F354" w:rsidR="004E0A1B" w:rsidRPr="00561642" w:rsidRDefault="004E0A1B" w:rsidP="002D4F81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Justificativa para o</w:t>
      </w:r>
      <w:r w:rsidR="00961B8D" w:rsidRPr="00561642">
        <w:rPr>
          <w:rFonts w:ascii="Times New Roman" w:hAnsi="Times New Roman" w:cs="Times New Roman"/>
          <w:b/>
          <w:szCs w:val="24"/>
        </w:rPr>
        <w:t xml:space="preserve"> parcelamento ou n</w:t>
      </w:r>
      <w:r w:rsidRPr="00561642">
        <w:rPr>
          <w:rFonts w:ascii="Times New Roman" w:hAnsi="Times New Roman" w:cs="Times New Roman"/>
          <w:b/>
          <w:szCs w:val="24"/>
        </w:rPr>
        <w:t xml:space="preserve">ão da </w:t>
      </w:r>
      <w:r w:rsidR="00961B8D" w:rsidRPr="00561642">
        <w:rPr>
          <w:rFonts w:ascii="Times New Roman" w:hAnsi="Times New Roman" w:cs="Times New Roman"/>
          <w:b/>
          <w:szCs w:val="24"/>
        </w:rPr>
        <w:t>contratação</w:t>
      </w:r>
      <w:r w:rsidRPr="00561642">
        <w:rPr>
          <w:rFonts w:ascii="Times New Roman" w:hAnsi="Times New Roman" w:cs="Times New Roman"/>
          <w:b/>
          <w:szCs w:val="24"/>
        </w:rPr>
        <w:t xml:space="preserve">: </w:t>
      </w:r>
    </w:p>
    <w:p w14:paraId="34C3F9BB" w14:textId="5EEEDDDB" w:rsidR="00095500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O objeto deverá ser contratado como um </w:t>
      </w:r>
      <w:r w:rsidRPr="00561642">
        <w:rPr>
          <w:rFonts w:ascii="Times New Roman" w:eastAsia="Arial" w:hAnsi="Times New Roman" w:cs="Times New Roman"/>
          <w:b/>
          <w:szCs w:val="24"/>
        </w:rPr>
        <w:t>lote único</w:t>
      </w:r>
      <w:r w:rsidR="00D375FD" w:rsidRPr="00561642">
        <w:rPr>
          <w:rFonts w:ascii="Times New Roman" w:eastAsia="Arial" w:hAnsi="Times New Roman" w:cs="Times New Roman"/>
          <w:szCs w:val="24"/>
        </w:rPr>
        <w:t xml:space="preserve"> seja</w:t>
      </w:r>
      <w:r w:rsidRPr="00561642">
        <w:rPr>
          <w:rFonts w:ascii="Times New Roman" w:eastAsia="Arial" w:hAnsi="Times New Roman" w:cs="Times New Roman"/>
          <w:szCs w:val="24"/>
        </w:rPr>
        <w:t xml:space="preserve"> do ponto dos serviços que compõe a atividade de regularização fundiária, bem como do</w:t>
      </w:r>
      <w:r w:rsidR="00EB3022" w:rsidRPr="00561642">
        <w:rPr>
          <w:rFonts w:ascii="Times New Roman" w:eastAsia="Arial" w:hAnsi="Times New Roman" w:cs="Times New Roman"/>
          <w:szCs w:val="24"/>
        </w:rPr>
        <w:t>(</w:t>
      </w:r>
      <w:r w:rsidRPr="00561642">
        <w:rPr>
          <w:rFonts w:ascii="Times New Roman" w:eastAsia="Arial" w:hAnsi="Times New Roman" w:cs="Times New Roman"/>
          <w:szCs w:val="24"/>
        </w:rPr>
        <w:t>s</w:t>
      </w:r>
      <w:r w:rsidR="00EB3022" w:rsidRPr="00561642">
        <w:rPr>
          <w:rFonts w:ascii="Times New Roman" w:eastAsia="Arial" w:hAnsi="Times New Roman" w:cs="Times New Roman"/>
          <w:szCs w:val="24"/>
        </w:rPr>
        <w:t>)</w:t>
      </w:r>
      <w:r w:rsidRPr="00561642">
        <w:rPr>
          <w:rFonts w:ascii="Times New Roman" w:eastAsia="Arial" w:hAnsi="Times New Roman" w:cs="Times New Roman"/>
          <w:szCs w:val="24"/>
        </w:rPr>
        <w:t xml:space="preserve"> núcleo</w:t>
      </w:r>
      <w:r w:rsidR="00EB3022" w:rsidRPr="00561642">
        <w:rPr>
          <w:rFonts w:ascii="Times New Roman" w:eastAsia="Arial" w:hAnsi="Times New Roman" w:cs="Times New Roman"/>
          <w:szCs w:val="24"/>
        </w:rPr>
        <w:t>(</w:t>
      </w:r>
      <w:r w:rsidRPr="00561642">
        <w:rPr>
          <w:rFonts w:ascii="Times New Roman" w:eastAsia="Arial" w:hAnsi="Times New Roman" w:cs="Times New Roman"/>
          <w:szCs w:val="24"/>
        </w:rPr>
        <w:t>s</w:t>
      </w:r>
      <w:r w:rsidR="00EB3022" w:rsidRPr="00561642">
        <w:rPr>
          <w:rFonts w:ascii="Times New Roman" w:eastAsia="Arial" w:hAnsi="Times New Roman" w:cs="Times New Roman"/>
          <w:szCs w:val="24"/>
        </w:rPr>
        <w:t>)</w:t>
      </w:r>
      <w:r w:rsidRPr="00561642">
        <w:rPr>
          <w:rFonts w:ascii="Times New Roman" w:eastAsia="Arial" w:hAnsi="Times New Roman" w:cs="Times New Roman"/>
          <w:szCs w:val="24"/>
        </w:rPr>
        <w:t xml:space="preserve"> que integram o edital, na medida em que o parcelamento do objeto implicaria em diversas dificuldades para a viabilização da contratação. </w:t>
      </w:r>
    </w:p>
    <w:p w14:paraId="17812BE3" w14:textId="77777777" w:rsidR="00095500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</w:p>
    <w:p w14:paraId="5D505179" w14:textId="001B1A56" w:rsidR="00095500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A primeira diz respeito à vinculação técnica das atividades que integram os serviços de regularização fundiária a serem contratadas, tendo em vista que as etapas necessárias para emissão dos títulos regularizados estão vinculadas entre si. Assim, eventual realização por empresas distintas acarretaria problemas na utilização e/ou revisão de fases já concluídas, sem considerar ainda o provável encarecimento dos serviços.</w:t>
      </w:r>
    </w:p>
    <w:p w14:paraId="517D5E95" w14:textId="77777777" w:rsidR="00095500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</w:p>
    <w:p w14:paraId="7BCB1692" w14:textId="68875674" w:rsidR="00962858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proofErr w:type="gramStart"/>
      <w:r w:rsidRPr="00561642">
        <w:rPr>
          <w:rFonts w:ascii="Times New Roman" w:eastAsia="Arial" w:hAnsi="Times New Roman" w:cs="Times New Roman"/>
          <w:szCs w:val="24"/>
        </w:rPr>
        <w:t>Outrossim</w:t>
      </w:r>
      <w:proofErr w:type="gramEnd"/>
      <w:r w:rsidRPr="00561642">
        <w:rPr>
          <w:rFonts w:ascii="Times New Roman" w:eastAsia="Arial" w:hAnsi="Times New Roman" w:cs="Times New Roman"/>
          <w:szCs w:val="24"/>
        </w:rPr>
        <w:t xml:space="preserve">, a separação dos serviços em </w:t>
      </w:r>
      <w:proofErr w:type="spellStart"/>
      <w:r w:rsidR="00DF77AC" w:rsidRPr="00561642">
        <w:rPr>
          <w:rFonts w:ascii="Times New Roman" w:eastAsia="Arial" w:hAnsi="Times New Roman" w:cs="Times New Roman"/>
          <w:szCs w:val="24"/>
          <w:highlight w:val="yellow"/>
        </w:rPr>
        <w:t>xx</w:t>
      </w:r>
      <w:proofErr w:type="spellEnd"/>
      <w:r w:rsidRPr="00561642">
        <w:rPr>
          <w:rFonts w:ascii="Times New Roman" w:eastAsia="Arial" w:hAnsi="Times New Roman" w:cs="Times New Roman"/>
          <w:szCs w:val="24"/>
        </w:rPr>
        <w:t xml:space="preserve"> lotes, sendo um para cada local, implicaria em projetos com menor valor econômico, tornando-os menos atrativos aos interessados e correndo-se o risco do procedimento ser deserto. </w:t>
      </w:r>
      <w:r w:rsidR="00962858" w:rsidRPr="00561642">
        <w:rPr>
          <w:rFonts w:ascii="Times New Roman" w:eastAsia="Arial" w:hAnsi="Times New Roman" w:cs="Times New Roman"/>
          <w:szCs w:val="24"/>
        </w:rPr>
        <w:t>Prestigia-se, portanto, a viabilidade técnica dos serviços necessários para a efetivação do trabalho e a economia de es</w:t>
      </w:r>
      <w:r w:rsidR="00EB3022" w:rsidRPr="00561642">
        <w:rPr>
          <w:rFonts w:ascii="Times New Roman" w:eastAsia="Arial" w:hAnsi="Times New Roman" w:cs="Times New Roman"/>
          <w:szCs w:val="24"/>
        </w:rPr>
        <w:t>cala da contratação de serviços.</w:t>
      </w:r>
    </w:p>
    <w:p w14:paraId="64557D59" w14:textId="77777777" w:rsidR="00095500" w:rsidRPr="00561642" w:rsidRDefault="00095500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</w:p>
    <w:p w14:paraId="1B642088" w14:textId="1BF1FE5A" w:rsidR="001C749F" w:rsidRPr="00561642" w:rsidRDefault="001C749F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Na mesma linha é que se justifica a contratação por </w:t>
      </w:r>
      <w:r w:rsidRPr="00561642">
        <w:rPr>
          <w:rFonts w:ascii="Times New Roman" w:eastAsia="Arial" w:hAnsi="Times New Roman" w:cs="Times New Roman"/>
          <w:b/>
          <w:szCs w:val="24"/>
        </w:rPr>
        <w:t>preço global</w:t>
      </w:r>
      <w:r w:rsidRPr="00561642">
        <w:rPr>
          <w:rFonts w:ascii="Times New Roman" w:eastAsia="Arial" w:hAnsi="Times New Roman" w:cs="Times New Roman"/>
          <w:szCs w:val="24"/>
        </w:rPr>
        <w:t xml:space="preserve">, </w:t>
      </w:r>
      <w:r w:rsidR="002224B8" w:rsidRPr="00561642">
        <w:rPr>
          <w:rFonts w:ascii="Times New Roman" w:eastAsia="Arial" w:hAnsi="Times New Roman" w:cs="Times New Roman"/>
          <w:szCs w:val="24"/>
        </w:rPr>
        <w:t xml:space="preserve">uma vez que a finalidade é a regularização </w:t>
      </w:r>
      <w:r w:rsidR="004F47F2" w:rsidRPr="00561642">
        <w:rPr>
          <w:rFonts w:ascii="Times New Roman" w:eastAsia="Arial" w:hAnsi="Times New Roman" w:cs="Times New Roman"/>
          <w:szCs w:val="24"/>
        </w:rPr>
        <w:t xml:space="preserve">total </w:t>
      </w:r>
      <w:r w:rsidR="002224B8" w:rsidRPr="00561642">
        <w:rPr>
          <w:rFonts w:ascii="Times New Roman" w:eastAsia="Arial" w:hAnsi="Times New Roman" w:cs="Times New Roman"/>
          <w:szCs w:val="24"/>
        </w:rPr>
        <w:t xml:space="preserve">do núcleo urbano informal objeto do trabalho, o qual é composto pelo total de lotes correspondente ao número de famílias moradoras do local. </w:t>
      </w:r>
      <w:r w:rsidR="004F47F2" w:rsidRPr="00561642">
        <w:rPr>
          <w:rFonts w:ascii="Times New Roman" w:eastAsia="Arial" w:hAnsi="Times New Roman" w:cs="Times New Roman"/>
          <w:szCs w:val="24"/>
        </w:rPr>
        <w:t xml:space="preserve">Não há realização do objeto, portanto, com a regularização apenas de parte das famílias, na medida em que a finalidade apenas será alcançada com a completa resolução da irregularidade do núcleo e a inclusão total da gleba </w:t>
      </w:r>
      <w:r w:rsidR="00EB3022" w:rsidRPr="00561642">
        <w:rPr>
          <w:rFonts w:ascii="Times New Roman" w:eastAsia="Arial" w:hAnsi="Times New Roman" w:cs="Times New Roman"/>
          <w:szCs w:val="24"/>
        </w:rPr>
        <w:t>a</w:t>
      </w:r>
      <w:r w:rsidR="004F47F2" w:rsidRPr="00561642">
        <w:rPr>
          <w:rFonts w:ascii="Times New Roman" w:eastAsia="Arial" w:hAnsi="Times New Roman" w:cs="Times New Roman"/>
          <w:szCs w:val="24"/>
        </w:rPr>
        <w:t xml:space="preserve">o ordenamento territorial urbano. </w:t>
      </w:r>
    </w:p>
    <w:p w14:paraId="3953A728" w14:textId="593427BC" w:rsidR="001C749F" w:rsidRPr="00561642" w:rsidRDefault="00762683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 </w:t>
      </w:r>
    </w:p>
    <w:p w14:paraId="45012D50" w14:textId="770B904D" w:rsidR="00762683" w:rsidRPr="00561642" w:rsidRDefault="00762683" w:rsidP="00085FA1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Por fim, a vedação de participação de </w:t>
      </w:r>
      <w:r w:rsidRPr="00561642">
        <w:rPr>
          <w:rFonts w:ascii="Times New Roman" w:eastAsia="Arial" w:hAnsi="Times New Roman" w:cs="Times New Roman"/>
          <w:b/>
          <w:szCs w:val="24"/>
        </w:rPr>
        <w:t xml:space="preserve">consórcios </w:t>
      </w:r>
      <w:r w:rsidR="00085FA1" w:rsidRPr="00561642">
        <w:rPr>
          <w:rFonts w:ascii="Times New Roman" w:eastAsia="Arial" w:hAnsi="Times New Roman" w:cs="Times New Roman"/>
          <w:szCs w:val="24"/>
        </w:rPr>
        <w:t>tem relação com a primeira razão para o não parcelamento do objeto, que é a vinculação técnica das etapas. A especificidade do objeto contratado em relação à finalidade buscada e o fato de que as etapas não são absolutamente estanques, de maneira que empresas diferentes possam realiz</w:t>
      </w:r>
      <w:r w:rsidR="00EB3022" w:rsidRPr="00561642">
        <w:rPr>
          <w:rFonts w:ascii="Times New Roman" w:eastAsia="Arial" w:hAnsi="Times New Roman" w:cs="Times New Roman"/>
          <w:szCs w:val="24"/>
        </w:rPr>
        <w:t>á</w:t>
      </w:r>
      <w:r w:rsidR="00085FA1" w:rsidRPr="00561642">
        <w:rPr>
          <w:rFonts w:ascii="Times New Roman" w:eastAsia="Arial" w:hAnsi="Times New Roman" w:cs="Times New Roman"/>
          <w:szCs w:val="24"/>
        </w:rPr>
        <w:t>-los de forma independente, implicam em riscos significativos para o bom andamento dos trabalhos, que não se justificam apenas para a participação de consórcios.</w:t>
      </w:r>
      <w:r w:rsidR="00DF7D87" w:rsidRPr="00561642">
        <w:rPr>
          <w:rFonts w:ascii="Times New Roman" w:eastAsia="Arial" w:hAnsi="Times New Roman" w:cs="Times New Roman"/>
          <w:szCs w:val="24"/>
        </w:rPr>
        <w:t xml:space="preserve"> </w:t>
      </w:r>
    </w:p>
    <w:p w14:paraId="59408611" w14:textId="77777777" w:rsidR="001C749F" w:rsidRPr="00561642" w:rsidRDefault="001C749F" w:rsidP="0009550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</w:p>
    <w:p w14:paraId="5352FC82" w14:textId="1D13416F" w:rsidR="001C4449" w:rsidRPr="00561642" w:rsidRDefault="001C4449" w:rsidP="00997A36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Demonstrativo dos resultados pretendidos:</w:t>
      </w:r>
    </w:p>
    <w:p w14:paraId="73E845CB" w14:textId="11ABDAA1" w:rsidR="00A42910" w:rsidRPr="00561642" w:rsidRDefault="00A42910" w:rsidP="004F7A8D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Com a contratação de empresa para prestação de serviços de regularização fundiária, o que se espera é uma maior abrangência de famílias beneficiadas, considerando que como já disposto acima, o </w:t>
      </w:r>
      <w:r w:rsidR="00DF77AC" w:rsidRPr="00561642">
        <w:rPr>
          <w:rFonts w:ascii="Times New Roman" w:eastAsia="Arial" w:hAnsi="Times New Roman" w:cs="Times New Roman"/>
          <w:szCs w:val="24"/>
        </w:rPr>
        <w:t xml:space="preserve">Município 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>possui d</w:t>
      </w:r>
      <w:r w:rsidR="00DF77AC" w:rsidRPr="00561642">
        <w:rPr>
          <w:rFonts w:ascii="Times New Roman" w:eastAsia="Arial" w:hAnsi="Times New Roman" w:cs="Times New Roman"/>
          <w:szCs w:val="24"/>
          <w:highlight w:val="yellow"/>
        </w:rPr>
        <w:t>iversos loteamentos irregulares</w:t>
      </w:r>
      <w:r w:rsidRPr="00561642">
        <w:rPr>
          <w:rFonts w:ascii="Times New Roman" w:eastAsia="Arial" w:hAnsi="Times New Roman" w:cs="Times New Roman"/>
          <w:szCs w:val="24"/>
          <w:highlight w:val="yellow"/>
        </w:rPr>
        <w:t>,</w:t>
      </w:r>
      <w:r w:rsidRPr="00561642">
        <w:rPr>
          <w:rFonts w:ascii="Times New Roman" w:eastAsia="Arial" w:hAnsi="Times New Roman" w:cs="Times New Roman"/>
          <w:szCs w:val="24"/>
        </w:rPr>
        <w:t xml:space="preserve"> o que demandaria a disposição de grande equipe técnica para suprimento da demanda.</w:t>
      </w:r>
    </w:p>
    <w:p w14:paraId="6D262EE0" w14:textId="77777777" w:rsidR="00151253" w:rsidRPr="00561642" w:rsidRDefault="00151253" w:rsidP="001512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>Para obtenção dos resultados pretendidos haverá necessidade de considerar os riscos abaixo:</w:t>
      </w:r>
    </w:p>
    <w:p w14:paraId="6CE130B9" w14:textId="796793AF" w:rsidR="00151253" w:rsidRPr="00561642" w:rsidRDefault="00151253" w:rsidP="00151253">
      <w:pPr>
        <w:widowControl w:val="0"/>
        <w:numPr>
          <w:ilvl w:val="0"/>
          <w:numId w:val="8"/>
        </w:numPr>
        <w:autoSpaceDE w:val="0"/>
        <w:autoSpaceDN w:val="0"/>
        <w:spacing w:after="0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Existência de inconsistências nas informações passadas pelo município e que podem implicar em dificuldades e problemas na execução do contrato – deverá ser previsto no termo de </w:t>
      </w:r>
      <w:r w:rsidR="00DE1F15" w:rsidRPr="00561642">
        <w:rPr>
          <w:rFonts w:ascii="Times New Roman" w:eastAsia="Arial" w:hAnsi="Times New Roman" w:cs="Times New Roman"/>
          <w:szCs w:val="24"/>
        </w:rPr>
        <w:t xml:space="preserve">referência </w:t>
      </w:r>
      <w:r w:rsidR="00DF77AC" w:rsidRPr="00561642">
        <w:rPr>
          <w:rFonts w:ascii="Times New Roman" w:eastAsia="Arial" w:hAnsi="Times New Roman" w:cs="Times New Roman"/>
          <w:szCs w:val="24"/>
        </w:rPr>
        <w:t>que f</w:t>
      </w:r>
      <w:r w:rsidRPr="00561642">
        <w:rPr>
          <w:rFonts w:ascii="Times New Roman" w:eastAsia="Arial" w:hAnsi="Times New Roman" w:cs="Times New Roman"/>
          <w:szCs w:val="24"/>
        </w:rPr>
        <w:t>atos imprevistos e imputáveis a terceiros, justificam eventuais pedidos de supressão ou acréscimo, desde que devidamente aprovados pel</w:t>
      </w:r>
      <w:r w:rsidR="00D375FD">
        <w:rPr>
          <w:rFonts w:ascii="Times New Roman" w:eastAsia="Arial" w:hAnsi="Times New Roman" w:cs="Times New Roman"/>
          <w:szCs w:val="24"/>
        </w:rPr>
        <w:t>o</w:t>
      </w:r>
      <w:r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DF77AC" w:rsidRPr="00561642">
        <w:rPr>
          <w:rFonts w:ascii="Times New Roman" w:eastAsia="Arial" w:hAnsi="Times New Roman" w:cs="Times New Roman"/>
          <w:szCs w:val="24"/>
        </w:rPr>
        <w:t>Município</w:t>
      </w:r>
      <w:r w:rsidR="00D375FD">
        <w:rPr>
          <w:rFonts w:ascii="Times New Roman" w:eastAsia="Arial" w:hAnsi="Times New Roman" w:cs="Times New Roman"/>
          <w:szCs w:val="24"/>
        </w:rPr>
        <w:t xml:space="preserve"> e pela COHAPAR</w:t>
      </w:r>
      <w:r w:rsidRPr="00561642">
        <w:rPr>
          <w:rFonts w:ascii="Times New Roman" w:eastAsia="Arial" w:hAnsi="Times New Roman" w:cs="Times New Roman"/>
          <w:szCs w:val="24"/>
        </w:rPr>
        <w:t>.</w:t>
      </w:r>
    </w:p>
    <w:p w14:paraId="16172045" w14:textId="50E364D0" w:rsidR="00151253" w:rsidRPr="00561642" w:rsidRDefault="00151253" w:rsidP="00151253">
      <w:pPr>
        <w:widowControl w:val="0"/>
        <w:numPr>
          <w:ilvl w:val="0"/>
          <w:numId w:val="8"/>
        </w:numPr>
        <w:autoSpaceDE w:val="0"/>
        <w:autoSpaceDN w:val="0"/>
        <w:spacing w:after="0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lastRenderedPageBreak/>
        <w:t xml:space="preserve">Alteração das famílias residentes nos núcleos urbanos indicados em razão do tempo transcorrido </w:t>
      </w:r>
      <w:r w:rsidR="004F7723" w:rsidRPr="00561642">
        <w:rPr>
          <w:rFonts w:ascii="Times New Roman" w:eastAsia="Arial" w:hAnsi="Times New Roman" w:cs="Times New Roman"/>
          <w:szCs w:val="24"/>
        </w:rPr>
        <w:t>até</w:t>
      </w:r>
      <w:r w:rsidRPr="00561642">
        <w:rPr>
          <w:rFonts w:ascii="Times New Roman" w:eastAsia="Arial" w:hAnsi="Times New Roman" w:cs="Times New Roman"/>
          <w:szCs w:val="24"/>
        </w:rPr>
        <w:t xml:space="preserve"> a efetivação </w:t>
      </w:r>
      <w:r w:rsidR="004F7723" w:rsidRPr="00561642">
        <w:rPr>
          <w:rFonts w:ascii="Times New Roman" w:eastAsia="Arial" w:hAnsi="Times New Roman" w:cs="Times New Roman"/>
          <w:szCs w:val="24"/>
        </w:rPr>
        <w:t>do processo</w:t>
      </w:r>
      <w:r w:rsidR="00DE1F15" w:rsidRPr="00561642">
        <w:rPr>
          <w:rFonts w:ascii="Times New Roman" w:eastAsia="Arial" w:hAnsi="Times New Roman" w:cs="Times New Roman"/>
          <w:szCs w:val="24"/>
        </w:rPr>
        <w:t xml:space="preserve"> -</w:t>
      </w:r>
      <w:r w:rsidRPr="00561642">
        <w:rPr>
          <w:rFonts w:ascii="Times New Roman" w:eastAsia="Arial" w:hAnsi="Times New Roman" w:cs="Times New Roman"/>
          <w:szCs w:val="24"/>
        </w:rPr>
        <w:t xml:space="preserve"> deverá ser prevista a substituição das famílias e da documentação das mesmas, conforme previsto no objeto.</w:t>
      </w:r>
    </w:p>
    <w:p w14:paraId="103DC2AC" w14:textId="54127D05" w:rsidR="00151253" w:rsidRPr="00561642" w:rsidRDefault="00151253" w:rsidP="00151253">
      <w:pPr>
        <w:widowControl w:val="0"/>
        <w:numPr>
          <w:ilvl w:val="0"/>
          <w:numId w:val="8"/>
        </w:numPr>
        <w:autoSpaceDE w:val="0"/>
        <w:autoSpaceDN w:val="0"/>
        <w:spacing w:after="0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Atraso no </w:t>
      </w:r>
      <w:r w:rsidRPr="00D375FD">
        <w:rPr>
          <w:rFonts w:ascii="Times New Roman" w:eastAsia="Arial" w:hAnsi="Times New Roman" w:cs="Times New Roman"/>
          <w:szCs w:val="24"/>
        </w:rPr>
        <w:t>repasse</w:t>
      </w:r>
      <w:r w:rsidR="00DF77AC" w:rsidRPr="00D375FD">
        <w:rPr>
          <w:rFonts w:ascii="Times New Roman" w:eastAsia="Arial" w:hAnsi="Times New Roman" w:cs="Times New Roman"/>
          <w:szCs w:val="24"/>
        </w:rPr>
        <w:t>/liberação</w:t>
      </w:r>
      <w:r w:rsidRPr="00561642">
        <w:rPr>
          <w:rFonts w:ascii="Times New Roman" w:eastAsia="Arial" w:hAnsi="Times New Roman" w:cs="Times New Roman"/>
          <w:szCs w:val="24"/>
        </w:rPr>
        <w:t xml:space="preserve"> de recursos pela </w:t>
      </w:r>
      <w:r w:rsidR="00D375FD">
        <w:rPr>
          <w:rFonts w:ascii="Times New Roman" w:eastAsia="Arial" w:hAnsi="Times New Roman" w:cs="Times New Roman"/>
          <w:szCs w:val="24"/>
        </w:rPr>
        <w:t>COHAPAR</w:t>
      </w:r>
      <w:r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DF77AC" w:rsidRPr="00561642">
        <w:rPr>
          <w:rFonts w:ascii="Times New Roman" w:eastAsia="Arial" w:hAnsi="Times New Roman" w:cs="Times New Roman"/>
          <w:szCs w:val="24"/>
        </w:rPr>
        <w:t>ao Município</w:t>
      </w:r>
      <w:r w:rsidR="004F7723" w:rsidRPr="00561642">
        <w:rPr>
          <w:rFonts w:ascii="Times New Roman" w:eastAsia="Arial" w:hAnsi="Times New Roman" w:cs="Times New Roman"/>
          <w:szCs w:val="24"/>
        </w:rPr>
        <w:t xml:space="preserve"> e do Município as empresas</w:t>
      </w:r>
      <w:r w:rsidR="00DF77AC" w:rsidRPr="00561642">
        <w:rPr>
          <w:rFonts w:ascii="Times New Roman" w:eastAsia="Arial" w:hAnsi="Times New Roman" w:cs="Times New Roman"/>
          <w:szCs w:val="24"/>
        </w:rPr>
        <w:t xml:space="preserve"> </w:t>
      </w:r>
      <w:r w:rsidR="00DE1F15" w:rsidRPr="00561642">
        <w:rPr>
          <w:rFonts w:ascii="Times New Roman" w:eastAsia="Arial" w:hAnsi="Times New Roman" w:cs="Times New Roman"/>
          <w:szCs w:val="24"/>
        </w:rPr>
        <w:t>-</w:t>
      </w:r>
      <w:r w:rsidRPr="00561642">
        <w:rPr>
          <w:rFonts w:ascii="Times New Roman" w:eastAsia="Arial" w:hAnsi="Times New Roman" w:cs="Times New Roman"/>
          <w:szCs w:val="24"/>
        </w:rPr>
        <w:t xml:space="preserve"> deverá ser prevista correção monetária dos valores em atraso.</w:t>
      </w:r>
    </w:p>
    <w:p w14:paraId="2C61FE87" w14:textId="373EE4F4" w:rsidR="00151253" w:rsidRPr="00561642" w:rsidRDefault="00151253" w:rsidP="00151253">
      <w:pPr>
        <w:widowControl w:val="0"/>
        <w:numPr>
          <w:ilvl w:val="0"/>
          <w:numId w:val="8"/>
        </w:numPr>
        <w:autoSpaceDE w:val="0"/>
        <w:autoSpaceDN w:val="0"/>
        <w:spacing w:after="0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Tratamento de dados sensíveis dos beneficiários - </w:t>
      </w:r>
      <w:r w:rsidR="00D375FD">
        <w:rPr>
          <w:rFonts w:ascii="Times New Roman" w:eastAsia="Arial" w:hAnsi="Times New Roman" w:cs="Times New Roman"/>
          <w:szCs w:val="24"/>
        </w:rPr>
        <w:t>in</w:t>
      </w:r>
      <w:r w:rsidRPr="00561642">
        <w:rPr>
          <w:rFonts w:ascii="Times New Roman" w:eastAsia="Arial" w:hAnsi="Times New Roman" w:cs="Times New Roman"/>
          <w:szCs w:val="24"/>
        </w:rPr>
        <w:t>clusão da exigência de adequação à LGPD no edital.</w:t>
      </w:r>
    </w:p>
    <w:p w14:paraId="466E43CE" w14:textId="43331B04" w:rsidR="00151253" w:rsidRPr="00D375FD" w:rsidRDefault="00151253" w:rsidP="00151253">
      <w:pPr>
        <w:widowControl w:val="0"/>
        <w:numPr>
          <w:ilvl w:val="0"/>
          <w:numId w:val="8"/>
        </w:numPr>
        <w:autoSpaceDE w:val="0"/>
        <w:autoSpaceDN w:val="0"/>
        <w:spacing w:after="0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D375FD">
        <w:rPr>
          <w:rFonts w:ascii="Times New Roman" w:eastAsia="Arial" w:hAnsi="Times New Roman" w:cs="Times New Roman"/>
          <w:szCs w:val="24"/>
        </w:rPr>
        <w:t>Atraso na aprovação dos projetos por responsabilidade de terceiros</w:t>
      </w:r>
      <w:r w:rsidR="00D375FD" w:rsidRPr="00D375FD">
        <w:rPr>
          <w:rFonts w:ascii="Times New Roman" w:eastAsia="Arial" w:hAnsi="Times New Roman" w:cs="Times New Roman"/>
          <w:szCs w:val="24"/>
        </w:rPr>
        <w:t xml:space="preserve"> -</w:t>
      </w:r>
      <w:r w:rsidR="00D375FD">
        <w:rPr>
          <w:rFonts w:ascii="Times New Roman" w:eastAsia="Arial" w:hAnsi="Times New Roman" w:cs="Times New Roman"/>
          <w:szCs w:val="24"/>
        </w:rPr>
        <w:t xml:space="preserve"> p</w:t>
      </w:r>
      <w:r w:rsidR="00C718C8" w:rsidRPr="00D375FD">
        <w:rPr>
          <w:rFonts w:ascii="Times New Roman" w:eastAsia="Arial" w:hAnsi="Times New Roman" w:cs="Times New Roman"/>
          <w:szCs w:val="24"/>
        </w:rPr>
        <w:t xml:space="preserve">ossibilidade </w:t>
      </w:r>
      <w:r w:rsidRPr="00D375FD">
        <w:rPr>
          <w:rFonts w:ascii="Times New Roman" w:eastAsia="Arial" w:hAnsi="Times New Roman" w:cs="Times New Roman"/>
          <w:szCs w:val="24"/>
        </w:rPr>
        <w:t>de prorrogação do prazo por impossibilidade de execução dos serviços pela Contratada, com pr</w:t>
      </w:r>
      <w:r w:rsidR="00DF77AC" w:rsidRPr="00D375FD">
        <w:rPr>
          <w:rFonts w:ascii="Times New Roman" w:eastAsia="Arial" w:hAnsi="Times New Roman" w:cs="Times New Roman"/>
          <w:szCs w:val="24"/>
        </w:rPr>
        <w:t xml:space="preserve">ocesso previamente aprovado </w:t>
      </w:r>
      <w:r w:rsidR="00D375FD" w:rsidRPr="00561642">
        <w:rPr>
          <w:rFonts w:ascii="Times New Roman" w:eastAsia="Arial" w:hAnsi="Times New Roman" w:cs="Times New Roman"/>
          <w:szCs w:val="24"/>
        </w:rPr>
        <w:t>pel</w:t>
      </w:r>
      <w:r w:rsidR="00D375FD">
        <w:rPr>
          <w:rFonts w:ascii="Times New Roman" w:eastAsia="Arial" w:hAnsi="Times New Roman" w:cs="Times New Roman"/>
          <w:szCs w:val="24"/>
        </w:rPr>
        <w:t>o</w:t>
      </w:r>
      <w:r w:rsidR="00D375FD" w:rsidRPr="00561642">
        <w:rPr>
          <w:rFonts w:ascii="Times New Roman" w:eastAsia="Arial" w:hAnsi="Times New Roman" w:cs="Times New Roman"/>
          <w:szCs w:val="24"/>
        </w:rPr>
        <w:t xml:space="preserve"> Município</w:t>
      </w:r>
      <w:r w:rsidR="00D375FD">
        <w:rPr>
          <w:rFonts w:ascii="Times New Roman" w:eastAsia="Arial" w:hAnsi="Times New Roman" w:cs="Times New Roman"/>
          <w:szCs w:val="24"/>
        </w:rPr>
        <w:t xml:space="preserve"> e pela COHAPAR</w:t>
      </w:r>
      <w:r w:rsidR="00D375FD" w:rsidRPr="00561642">
        <w:rPr>
          <w:rFonts w:ascii="Times New Roman" w:eastAsia="Arial" w:hAnsi="Times New Roman" w:cs="Times New Roman"/>
          <w:szCs w:val="24"/>
        </w:rPr>
        <w:t>.</w:t>
      </w:r>
    </w:p>
    <w:p w14:paraId="0F2C099C" w14:textId="7C9B96B0" w:rsidR="00151253" w:rsidRPr="00561642" w:rsidRDefault="00151253" w:rsidP="001512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t xml:space="preserve">Desta forma, a presente contratação representa agilidade na entrega de títulos em nome dos ocupantes e, consequentemente na redução dos loteamentos irregulares existentes no </w:t>
      </w:r>
      <w:r w:rsidR="00194218" w:rsidRPr="00561642">
        <w:rPr>
          <w:rFonts w:ascii="Times New Roman" w:eastAsia="Arial" w:hAnsi="Times New Roman" w:cs="Times New Roman"/>
          <w:szCs w:val="24"/>
        </w:rPr>
        <w:t>Município</w:t>
      </w:r>
      <w:r w:rsidR="004F7723" w:rsidRPr="00561642">
        <w:rPr>
          <w:rFonts w:ascii="Times New Roman" w:eastAsia="Arial" w:hAnsi="Times New Roman" w:cs="Times New Roman"/>
          <w:szCs w:val="24"/>
        </w:rPr>
        <w:t>.</w:t>
      </w:r>
    </w:p>
    <w:p w14:paraId="3CB1A30E" w14:textId="77777777" w:rsidR="004F7A8D" w:rsidRPr="00561642" w:rsidRDefault="004F7A8D" w:rsidP="00CA0EA4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Cs w:val="24"/>
        </w:rPr>
      </w:pPr>
    </w:p>
    <w:p w14:paraId="4F0AB59B" w14:textId="7F7D6904" w:rsidR="00AA4F7E" w:rsidRPr="00561642" w:rsidRDefault="00DE1F15" w:rsidP="00997A36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Providências </w:t>
      </w:r>
      <w:r w:rsidR="00194218" w:rsidRPr="00561642">
        <w:rPr>
          <w:rFonts w:ascii="Times New Roman" w:hAnsi="Times New Roman" w:cs="Times New Roman"/>
          <w:b/>
          <w:szCs w:val="24"/>
        </w:rPr>
        <w:t>a serem adotadas pelo</w:t>
      </w:r>
      <w:r w:rsidR="00AA4F7E" w:rsidRPr="00561642">
        <w:rPr>
          <w:rFonts w:ascii="Times New Roman" w:hAnsi="Times New Roman" w:cs="Times New Roman"/>
          <w:b/>
          <w:szCs w:val="24"/>
        </w:rPr>
        <w:t xml:space="preserve"> </w:t>
      </w:r>
      <w:r w:rsidR="00194218" w:rsidRPr="00561642">
        <w:rPr>
          <w:rFonts w:ascii="Times New Roman" w:hAnsi="Times New Roman" w:cs="Times New Roman"/>
          <w:b/>
          <w:szCs w:val="24"/>
        </w:rPr>
        <w:t>MUNICÍPIO</w:t>
      </w:r>
      <w:r w:rsidR="00AA4F7E" w:rsidRPr="00561642">
        <w:rPr>
          <w:rFonts w:ascii="Times New Roman" w:hAnsi="Times New Roman" w:cs="Times New Roman"/>
          <w:b/>
          <w:szCs w:val="24"/>
        </w:rPr>
        <w:t xml:space="preserve"> </w:t>
      </w:r>
      <w:r w:rsidR="00164F68" w:rsidRPr="00561642">
        <w:rPr>
          <w:rFonts w:ascii="Times New Roman" w:hAnsi="Times New Roman" w:cs="Times New Roman"/>
          <w:b/>
          <w:szCs w:val="24"/>
        </w:rPr>
        <w:t xml:space="preserve">previamente </w:t>
      </w:r>
      <w:r w:rsidR="003200B9">
        <w:rPr>
          <w:rFonts w:ascii="Times New Roman" w:hAnsi="Times New Roman" w:cs="Times New Roman"/>
          <w:b/>
          <w:szCs w:val="24"/>
        </w:rPr>
        <w:t>a celebração do contrato:</w:t>
      </w:r>
    </w:p>
    <w:p w14:paraId="4BAF9874" w14:textId="4E82F174" w:rsidR="006A33EA" w:rsidRPr="00561642" w:rsidRDefault="00164F68" w:rsidP="002D4F81">
      <w:pPr>
        <w:pStyle w:val="PargrafodaLista"/>
        <w:tabs>
          <w:tab w:val="left" w:pos="284"/>
          <w:tab w:val="left" w:pos="426"/>
        </w:tabs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A execução </w:t>
      </w:r>
      <w:r w:rsidR="004F7723" w:rsidRPr="00561642">
        <w:rPr>
          <w:rFonts w:ascii="Times New Roman" w:hAnsi="Times New Roman" w:cs="Times New Roman"/>
          <w:szCs w:val="24"/>
        </w:rPr>
        <w:t>das ações</w:t>
      </w:r>
      <w:r w:rsidRPr="00561642">
        <w:rPr>
          <w:rFonts w:ascii="Times New Roman" w:hAnsi="Times New Roman" w:cs="Times New Roman"/>
          <w:szCs w:val="24"/>
        </w:rPr>
        <w:t xml:space="preserve"> perpassa inicialmente a manifestação de interesse</w:t>
      </w:r>
      <w:r w:rsidR="004F7723" w:rsidRPr="00561642">
        <w:rPr>
          <w:rFonts w:ascii="Times New Roman" w:hAnsi="Times New Roman" w:cs="Times New Roman"/>
          <w:szCs w:val="24"/>
        </w:rPr>
        <w:t xml:space="preserve"> do município em aderir ao Programa Paraná Regularizado,</w:t>
      </w:r>
      <w:r w:rsidR="00A42910" w:rsidRPr="00561642">
        <w:rPr>
          <w:rFonts w:ascii="Times New Roman" w:hAnsi="Times New Roman" w:cs="Times New Roman"/>
          <w:szCs w:val="24"/>
        </w:rPr>
        <w:t xml:space="preserve"> </w:t>
      </w:r>
      <w:r w:rsidR="004F7723" w:rsidRPr="00561642">
        <w:rPr>
          <w:rFonts w:ascii="Times New Roman" w:hAnsi="Times New Roman" w:cs="Times New Roman"/>
          <w:szCs w:val="24"/>
        </w:rPr>
        <w:t>o qual deve</w:t>
      </w:r>
      <w:r w:rsidR="00A42910" w:rsidRPr="00561642">
        <w:rPr>
          <w:rFonts w:ascii="Times New Roman" w:hAnsi="Times New Roman" w:cs="Times New Roman"/>
          <w:szCs w:val="24"/>
        </w:rPr>
        <w:t xml:space="preserve"> encaminhar informações do núcleo a ser regularizado e das famílias a serem beneficiadas</w:t>
      </w:r>
      <w:r w:rsidR="004F7723" w:rsidRPr="00561642">
        <w:rPr>
          <w:rFonts w:ascii="Times New Roman" w:hAnsi="Times New Roman" w:cs="Times New Roman"/>
          <w:szCs w:val="24"/>
        </w:rPr>
        <w:t xml:space="preserve"> à </w:t>
      </w:r>
      <w:r w:rsidR="00D375FD">
        <w:rPr>
          <w:rFonts w:ascii="Times New Roman" w:hAnsi="Times New Roman" w:cs="Times New Roman"/>
          <w:szCs w:val="24"/>
        </w:rPr>
        <w:t>COHAPAR</w:t>
      </w:r>
      <w:r w:rsidR="00A42910" w:rsidRPr="00561642">
        <w:rPr>
          <w:rFonts w:ascii="Times New Roman" w:hAnsi="Times New Roman" w:cs="Times New Roman"/>
          <w:szCs w:val="24"/>
        </w:rPr>
        <w:t>, conforme relação de doc</w:t>
      </w:r>
      <w:r w:rsidR="004F7723" w:rsidRPr="00561642">
        <w:rPr>
          <w:rFonts w:ascii="Times New Roman" w:hAnsi="Times New Roman" w:cs="Times New Roman"/>
          <w:szCs w:val="24"/>
        </w:rPr>
        <w:t>umentos descritos nas diretrizes</w:t>
      </w:r>
      <w:r w:rsidR="00A42910" w:rsidRPr="00561642">
        <w:rPr>
          <w:rFonts w:ascii="Times New Roman" w:hAnsi="Times New Roman" w:cs="Times New Roman"/>
          <w:szCs w:val="24"/>
        </w:rPr>
        <w:t xml:space="preserve"> do programa</w:t>
      </w:r>
      <w:r w:rsidR="00DE1F15" w:rsidRPr="00561642">
        <w:rPr>
          <w:rFonts w:ascii="Times New Roman" w:hAnsi="Times New Roman" w:cs="Times New Roman"/>
          <w:szCs w:val="24"/>
        </w:rPr>
        <w:t>. Com isso, a equipe técnica da companhia</w:t>
      </w:r>
      <w:r w:rsidR="00506D2A" w:rsidRPr="00561642">
        <w:rPr>
          <w:rFonts w:ascii="Times New Roman" w:hAnsi="Times New Roman" w:cs="Times New Roman"/>
          <w:szCs w:val="24"/>
        </w:rPr>
        <w:t xml:space="preserve"> </w:t>
      </w:r>
      <w:r w:rsidR="00DE1F15" w:rsidRPr="00561642">
        <w:rPr>
          <w:rFonts w:ascii="Times New Roman" w:hAnsi="Times New Roman" w:cs="Times New Roman"/>
          <w:szCs w:val="24"/>
        </w:rPr>
        <w:t>realiza</w:t>
      </w:r>
      <w:r w:rsidR="00CD4E61" w:rsidRPr="00561642">
        <w:rPr>
          <w:rFonts w:ascii="Times New Roman" w:hAnsi="Times New Roman" w:cs="Times New Roman"/>
          <w:szCs w:val="24"/>
        </w:rPr>
        <w:t xml:space="preserve"> </w:t>
      </w:r>
      <w:r w:rsidRPr="00561642">
        <w:rPr>
          <w:rFonts w:ascii="Times New Roman" w:hAnsi="Times New Roman" w:cs="Times New Roman"/>
          <w:szCs w:val="24"/>
        </w:rPr>
        <w:t>análise</w:t>
      </w:r>
      <w:r w:rsidR="00CD4E61" w:rsidRPr="00561642">
        <w:rPr>
          <w:rFonts w:ascii="Times New Roman" w:hAnsi="Times New Roman" w:cs="Times New Roman"/>
          <w:szCs w:val="24"/>
        </w:rPr>
        <w:t xml:space="preserve"> dos documentos</w:t>
      </w:r>
      <w:r w:rsidR="00506D2A" w:rsidRPr="00561642">
        <w:rPr>
          <w:rFonts w:ascii="Times New Roman" w:hAnsi="Times New Roman" w:cs="Times New Roman"/>
          <w:szCs w:val="24"/>
        </w:rPr>
        <w:t xml:space="preserve"> </w:t>
      </w:r>
      <w:r w:rsidR="00CD4E61" w:rsidRPr="00561642">
        <w:rPr>
          <w:rFonts w:ascii="Times New Roman" w:hAnsi="Times New Roman" w:cs="Times New Roman"/>
          <w:szCs w:val="24"/>
        </w:rPr>
        <w:t>e caso completos, o muni</w:t>
      </w:r>
      <w:r w:rsidR="00194218" w:rsidRPr="00561642">
        <w:rPr>
          <w:rFonts w:ascii="Times New Roman" w:hAnsi="Times New Roman" w:cs="Times New Roman"/>
          <w:szCs w:val="24"/>
        </w:rPr>
        <w:t xml:space="preserve">cípio é habilitado ao programa e assina o Convênio com a </w:t>
      </w:r>
      <w:r w:rsidR="00D375FD">
        <w:rPr>
          <w:rFonts w:ascii="Times New Roman" w:hAnsi="Times New Roman" w:cs="Times New Roman"/>
          <w:szCs w:val="24"/>
        </w:rPr>
        <w:t>COHAPAR</w:t>
      </w:r>
      <w:r w:rsidR="00194218" w:rsidRPr="00561642">
        <w:rPr>
          <w:rFonts w:ascii="Times New Roman" w:hAnsi="Times New Roman" w:cs="Times New Roman"/>
          <w:szCs w:val="24"/>
        </w:rPr>
        <w:t>.</w:t>
      </w:r>
    </w:p>
    <w:p w14:paraId="4D5B8B35" w14:textId="10BA4D51" w:rsidR="00164F68" w:rsidRPr="00561642" w:rsidRDefault="00CD4E61" w:rsidP="002D4F81">
      <w:pPr>
        <w:pStyle w:val="PargrafodaLista"/>
        <w:tabs>
          <w:tab w:val="left" w:pos="284"/>
          <w:tab w:val="left" w:pos="426"/>
        </w:tabs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>Visando a contratação da empresa, antes da celebração do contrato são construídos</w:t>
      </w:r>
      <w:r w:rsidR="00D375FD">
        <w:rPr>
          <w:rFonts w:ascii="Times New Roman" w:hAnsi="Times New Roman" w:cs="Times New Roman"/>
          <w:szCs w:val="24"/>
        </w:rPr>
        <w:t xml:space="preserve"> pelo município</w:t>
      </w:r>
      <w:r w:rsidRPr="00561642">
        <w:rPr>
          <w:rFonts w:ascii="Times New Roman" w:hAnsi="Times New Roman" w:cs="Times New Roman"/>
          <w:szCs w:val="24"/>
        </w:rPr>
        <w:t xml:space="preserve"> os documentos necessários para instrumentalização do processo, com destaque para o Termo de Referência, assim é realizada a licitação para contratação de empresa que cumprir as</w:t>
      </w:r>
      <w:r w:rsidR="00164F68" w:rsidRPr="00561642">
        <w:rPr>
          <w:rFonts w:ascii="Times New Roman" w:hAnsi="Times New Roman" w:cs="Times New Roman"/>
          <w:szCs w:val="24"/>
        </w:rPr>
        <w:t xml:space="preserve"> disposições do edital. Após, é estabelecida relação entre as partes, c</w:t>
      </w:r>
      <w:r w:rsidR="007C5FD3" w:rsidRPr="00561642">
        <w:rPr>
          <w:rFonts w:ascii="Times New Roman" w:hAnsi="Times New Roman" w:cs="Times New Roman"/>
          <w:szCs w:val="24"/>
        </w:rPr>
        <w:t>onforme critérios dispostos no</w:t>
      </w:r>
      <w:r w:rsidR="00164F68" w:rsidRPr="00561642">
        <w:rPr>
          <w:rFonts w:ascii="Times New Roman" w:hAnsi="Times New Roman" w:cs="Times New Roman"/>
          <w:szCs w:val="24"/>
        </w:rPr>
        <w:t xml:space="preserve"> regulamento</w:t>
      </w:r>
      <w:r w:rsidR="00DE1F15" w:rsidRPr="00561642">
        <w:rPr>
          <w:rFonts w:ascii="Times New Roman" w:hAnsi="Times New Roman" w:cs="Times New Roman"/>
          <w:szCs w:val="24"/>
        </w:rPr>
        <w:t xml:space="preserve"> do programa</w:t>
      </w:r>
      <w:r w:rsidR="00164F68" w:rsidRPr="00561642">
        <w:rPr>
          <w:rFonts w:ascii="Times New Roman" w:hAnsi="Times New Roman" w:cs="Times New Roman"/>
          <w:szCs w:val="24"/>
        </w:rPr>
        <w:t xml:space="preserve">, para que seja executado e concluído o processo de Regularização Fundiária Urbana - </w:t>
      </w:r>
      <w:proofErr w:type="spellStart"/>
      <w:r w:rsidR="00164F68" w:rsidRPr="00561642">
        <w:rPr>
          <w:rFonts w:ascii="Times New Roman" w:hAnsi="Times New Roman" w:cs="Times New Roman"/>
          <w:szCs w:val="24"/>
        </w:rPr>
        <w:t>Reurb</w:t>
      </w:r>
      <w:proofErr w:type="spellEnd"/>
      <w:r w:rsidR="00164F68" w:rsidRPr="00561642">
        <w:rPr>
          <w:rFonts w:ascii="Times New Roman" w:hAnsi="Times New Roman" w:cs="Times New Roman"/>
          <w:szCs w:val="24"/>
        </w:rPr>
        <w:t>, com a efetiva entrega dos títulos às famílias.</w:t>
      </w:r>
    </w:p>
    <w:p w14:paraId="574879CB" w14:textId="00409713" w:rsidR="00164F68" w:rsidRPr="00561642" w:rsidRDefault="003200B9" w:rsidP="002D4F81">
      <w:pPr>
        <w:pStyle w:val="PargrafodaLista"/>
        <w:tabs>
          <w:tab w:val="left" w:pos="284"/>
          <w:tab w:val="left" w:pos="426"/>
        </w:tabs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Dentro da lógica estabelecida acima, o</w:t>
      </w:r>
      <w:r w:rsidR="00AE0FA4" w:rsidRPr="00561642">
        <w:rPr>
          <w:rFonts w:ascii="Times New Roman" w:hAnsi="Times New Roman" w:cs="Times New Roman"/>
          <w:szCs w:val="24"/>
        </w:rPr>
        <w:t xml:space="preserve"> município encaminhou a documentação exigida pelo Programa Paraná Regulariza</w:t>
      </w:r>
      <w:r w:rsidR="004F7723" w:rsidRPr="00561642">
        <w:rPr>
          <w:rFonts w:ascii="Times New Roman" w:hAnsi="Times New Roman" w:cs="Times New Roman"/>
          <w:szCs w:val="24"/>
        </w:rPr>
        <w:t>do</w:t>
      </w:r>
      <w:r w:rsidR="00AE0FA4" w:rsidRPr="00561642">
        <w:rPr>
          <w:rFonts w:ascii="Times New Roman" w:hAnsi="Times New Roman" w:cs="Times New Roman"/>
          <w:szCs w:val="24"/>
        </w:rPr>
        <w:t xml:space="preserve"> para a </w:t>
      </w:r>
      <w:r w:rsidR="00D375FD">
        <w:rPr>
          <w:rFonts w:ascii="Times New Roman" w:hAnsi="Times New Roman" w:cs="Times New Roman"/>
          <w:szCs w:val="24"/>
        </w:rPr>
        <w:t>COHAPAR</w:t>
      </w:r>
      <w:r w:rsidR="00AE0FA4" w:rsidRPr="00561642">
        <w:rPr>
          <w:rFonts w:ascii="Times New Roman" w:hAnsi="Times New Roman" w:cs="Times New Roman"/>
          <w:szCs w:val="24"/>
        </w:rPr>
        <w:t>, que após analisar essa documentação, e tendo a aprovado, assinou</w:t>
      </w:r>
      <w:r w:rsidR="00164F68" w:rsidRPr="00561642">
        <w:rPr>
          <w:rFonts w:ascii="Times New Roman" w:hAnsi="Times New Roman" w:cs="Times New Roman"/>
          <w:szCs w:val="24"/>
        </w:rPr>
        <w:t xml:space="preserve"> o</w:t>
      </w:r>
      <w:r w:rsidR="00AE0FA4" w:rsidRPr="00561642">
        <w:rPr>
          <w:rFonts w:ascii="Times New Roman" w:hAnsi="Times New Roman" w:cs="Times New Roman"/>
          <w:szCs w:val="24"/>
        </w:rPr>
        <w:t xml:space="preserve"> Convênio nº </w:t>
      </w:r>
      <w:proofErr w:type="spellStart"/>
      <w:r w:rsidR="00AE0FA4" w:rsidRPr="00561642">
        <w:rPr>
          <w:rFonts w:ascii="Times New Roman" w:hAnsi="Times New Roman" w:cs="Times New Roman"/>
          <w:szCs w:val="24"/>
          <w:highlight w:val="yellow"/>
        </w:rPr>
        <w:t>xx</w:t>
      </w:r>
      <w:proofErr w:type="spellEnd"/>
      <w:r w:rsidR="00AE0FA4" w:rsidRPr="00561642">
        <w:rPr>
          <w:rFonts w:ascii="Times New Roman" w:hAnsi="Times New Roman" w:cs="Times New Roman"/>
          <w:szCs w:val="24"/>
          <w:highlight w:val="yellow"/>
        </w:rPr>
        <w:t>/202x</w:t>
      </w:r>
      <w:r w:rsidR="00AE0FA4" w:rsidRPr="00561642">
        <w:rPr>
          <w:rFonts w:ascii="Times New Roman" w:hAnsi="Times New Roman" w:cs="Times New Roman"/>
          <w:szCs w:val="24"/>
        </w:rPr>
        <w:t xml:space="preserve"> com o</w:t>
      </w:r>
      <w:r w:rsidR="00164F68" w:rsidRPr="00561642">
        <w:rPr>
          <w:rFonts w:ascii="Times New Roman" w:hAnsi="Times New Roman" w:cs="Times New Roman"/>
          <w:szCs w:val="24"/>
        </w:rPr>
        <w:t xml:space="preserve"> município</w:t>
      </w:r>
      <w:r w:rsidR="00CD4E61" w:rsidRPr="00561642">
        <w:rPr>
          <w:rFonts w:ascii="Times New Roman" w:hAnsi="Times New Roman" w:cs="Times New Roman"/>
          <w:szCs w:val="24"/>
        </w:rPr>
        <w:t xml:space="preserve">, </w:t>
      </w:r>
      <w:r w:rsidR="00164F68" w:rsidRPr="00561642">
        <w:rPr>
          <w:rFonts w:ascii="Times New Roman" w:hAnsi="Times New Roman" w:cs="Times New Roman"/>
          <w:szCs w:val="24"/>
        </w:rPr>
        <w:t xml:space="preserve">para regularização dos núcleos urbanos irregulares </w:t>
      </w:r>
      <w:proofErr w:type="spellStart"/>
      <w:r w:rsidR="00AE0FA4" w:rsidRPr="00561642">
        <w:rPr>
          <w:rFonts w:ascii="Times New Roman" w:hAnsi="Times New Roman" w:cs="Times New Roman"/>
          <w:szCs w:val="24"/>
          <w:highlight w:val="yellow"/>
        </w:rPr>
        <w:t>xxxx</w:t>
      </w:r>
      <w:proofErr w:type="spellEnd"/>
      <w:r w:rsidR="00164F68" w:rsidRPr="00561642">
        <w:rPr>
          <w:rFonts w:ascii="Times New Roman" w:hAnsi="Times New Roman" w:cs="Times New Roman"/>
          <w:szCs w:val="24"/>
        </w:rPr>
        <w:t xml:space="preserve">, que somam </w:t>
      </w:r>
      <w:r w:rsidR="00AE0FA4" w:rsidRPr="00561642">
        <w:rPr>
          <w:rFonts w:ascii="Times New Roman" w:hAnsi="Times New Roman" w:cs="Times New Roman"/>
          <w:szCs w:val="24"/>
          <w:highlight w:val="yellow"/>
        </w:rPr>
        <w:t>XX</w:t>
      </w:r>
      <w:r w:rsidR="00506D2A" w:rsidRPr="00561642">
        <w:rPr>
          <w:rFonts w:ascii="Times New Roman" w:hAnsi="Times New Roman" w:cs="Times New Roman"/>
          <w:szCs w:val="24"/>
        </w:rPr>
        <w:t xml:space="preserve"> </w:t>
      </w:r>
      <w:r w:rsidR="00164F68" w:rsidRPr="00561642">
        <w:rPr>
          <w:rFonts w:ascii="Times New Roman" w:hAnsi="Times New Roman" w:cs="Times New Roman"/>
          <w:szCs w:val="24"/>
        </w:rPr>
        <w:t xml:space="preserve">famílias a serem beneficiadas com a emissão </w:t>
      </w:r>
      <w:r>
        <w:rPr>
          <w:rFonts w:ascii="Times New Roman" w:hAnsi="Times New Roman" w:cs="Times New Roman"/>
          <w:szCs w:val="24"/>
        </w:rPr>
        <w:t>das matrículas</w:t>
      </w:r>
      <w:r w:rsidR="00164F68" w:rsidRPr="00561642">
        <w:rPr>
          <w:rFonts w:ascii="Times New Roman" w:hAnsi="Times New Roman" w:cs="Times New Roman"/>
          <w:szCs w:val="24"/>
        </w:rPr>
        <w:t xml:space="preserve">. </w:t>
      </w:r>
    </w:p>
    <w:p w14:paraId="1DDE9FEC" w14:textId="084ED00A" w:rsidR="007F42DB" w:rsidRPr="00561642" w:rsidRDefault="007F42DB" w:rsidP="002D4F81">
      <w:pPr>
        <w:pStyle w:val="PargrafodaLista"/>
        <w:tabs>
          <w:tab w:val="left" w:pos="284"/>
          <w:tab w:val="left" w:pos="426"/>
        </w:tabs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Ainda, antes da Contratação deverão ser capacitados os </w:t>
      </w:r>
      <w:r w:rsidR="004F7723" w:rsidRPr="00561642">
        <w:rPr>
          <w:rFonts w:ascii="Times New Roman" w:hAnsi="Times New Roman" w:cs="Times New Roman"/>
          <w:szCs w:val="24"/>
        </w:rPr>
        <w:t xml:space="preserve">gestores e </w:t>
      </w:r>
      <w:r w:rsidRPr="00561642">
        <w:rPr>
          <w:rFonts w:ascii="Times New Roman" w:hAnsi="Times New Roman" w:cs="Times New Roman"/>
          <w:szCs w:val="24"/>
        </w:rPr>
        <w:t>fiscais designados</w:t>
      </w:r>
      <w:r w:rsidR="004F7723" w:rsidRPr="00561642">
        <w:rPr>
          <w:rFonts w:ascii="Times New Roman" w:hAnsi="Times New Roman" w:cs="Times New Roman"/>
          <w:szCs w:val="24"/>
        </w:rPr>
        <w:t xml:space="preserve"> do município, sendo necessária a indicação de um engenheiro na condição de fiscal.</w:t>
      </w:r>
      <w:r w:rsidRPr="00561642">
        <w:rPr>
          <w:rFonts w:ascii="Times New Roman" w:hAnsi="Times New Roman" w:cs="Times New Roman"/>
          <w:szCs w:val="24"/>
        </w:rPr>
        <w:t xml:space="preserve"> </w:t>
      </w:r>
    </w:p>
    <w:p w14:paraId="1AFF69C4" w14:textId="77777777" w:rsidR="00997A36" w:rsidRPr="00561642" w:rsidRDefault="00997A36" w:rsidP="002D4F81">
      <w:pPr>
        <w:pStyle w:val="PargrafodaLista"/>
        <w:tabs>
          <w:tab w:val="left" w:pos="284"/>
          <w:tab w:val="left" w:pos="426"/>
        </w:tabs>
        <w:spacing w:after="120"/>
        <w:ind w:left="284"/>
        <w:jc w:val="both"/>
        <w:rPr>
          <w:rFonts w:ascii="Times New Roman" w:hAnsi="Times New Roman" w:cs="Times New Roman"/>
          <w:color w:val="FF0000"/>
          <w:szCs w:val="24"/>
        </w:rPr>
      </w:pPr>
    </w:p>
    <w:p w14:paraId="525DFA59" w14:textId="3A580F57" w:rsidR="004E0A1B" w:rsidRPr="00561642" w:rsidRDefault="004E0A1B" w:rsidP="00997A36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 xml:space="preserve">Contratações correlatas e/ou interdependentes: </w:t>
      </w:r>
    </w:p>
    <w:p w14:paraId="4D332A60" w14:textId="3CA6B2BC" w:rsidR="004F7723" w:rsidRPr="00561642" w:rsidRDefault="00814986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A estrutura </w:t>
      </w:r>
      <w:r w:rsidR="00F460AF" w:rsidRPr="00561642">
        <w:rPr>
          <w:rFonts w:ascii="Times New Roman" w:hAnsi="Times New Roman" w:cs="Times New Roman"/>
          <w:szCs w:val="24"/>
        </w:rPr>
        <w:t xml:space="preserve">do processo de contratação e prestação dos serviços de regularização fundiária é </w:t>
      </w:r>
      <w:r w:rsidR="004F7723" w:rsidRPr="00561642">
        <w:rPr>
          <w:rFonts w:ascii="Times New Roman" w:hAnsi="Times New Roman" w:cs="Times New Roman"/>
          <w:szCs w:val="24"/>
        </w:rPr>
        <w:t xml:space="preserve">semelhante ao realizado pela </w:t>
      </w:r>
      <w:r w:rsidR="00D375FD">
        <w:rPr>
          <w:rFonts w:ascii="Times New Roman" w:hAnsi="Times New Roman" w:cs="Times New Roman"/>
          <w:szCs w:val="24"/>
        </w:rPr>
        <w:t>COHAPAR</w:t>
      </w:r>
      <w:r w:rsidR="004F7723" w:rsidRPr="00561642">
        <w:rPr>
          <w:rFonts w:ascii="Times New Roman" w:hAnsi="Times New Roman" w:cs="Times New Roman"/>
          <w:szCs w:val="24"/>
        </w:rPr>
        <w:t xml:space="preserve"> por meio das Licitações nº 08/2024, 09/2024, 014/2024, 049/2024, 04/2025, 05/2025 e 09/2025.</w:t>
      </w:r>
    </w:p>
    <w:p w14:paraId="1179D95A" w14:textId="77777777" w:rsidR="004F7A8D" w:rsidRPr="00561642" w:rsidRDefault="004F7A8D" w:rsidP="002D4F81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</w:p>
    <w:p w14:paraId="49855F86" w14:textId="0932AEA0" w:rsidR="00961B8D" w:rsidRPr="00561642" w:rsidRDefault="00AA4F7E" w:rsidP="003413A5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t>Descrição de possíveis impactos ambientais e respectivas medidas mitigadoras</w:t>
      </w:r>
      <w:r w:rsidR="003200B9">
        <w:rPr>
          <w:rFonts w:ascii="Times New Roman" w:hAnsi="Times New Roman" w:cs="Times New Roman"/>
          <w:b/>
          <w:szCs w:val="24"/>
        </w:rPr>
        <w:t>:</w:t>
      </w:r>
    </w:p>
    <w:p w14:paraId="175308A5" w14:textId="2534BAC2" w:rsidR="00DA7A64" w:rsidRPr="00561642" w:rsidRDefault="00621EA6" w:rsidP="00112878">
      <w:pPr>
        <w:spacing w:after="120"/>
        <w:ind w:left="284"/>
        <w:jc w:val="both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</w:rPr>
        <w:t xml:space="preserve">A natureza dos serviços é preponderamente intelectual, uma vez que o objetivo do procedimento de </w:t>
      </w:r>
      <w:proofErr w:type="spellStart"/>
      <w:r w:rsidR="00F1141B" w:rsidRPr="00561642">
        <w:rPr>
          <w:rFonts w:ascii="Times New Roman" w:hAnsi="Times New Roman" w:cs="Times New Roman"/>
          <w:szCs w:val="24"/>
        </w:rPr>
        <w:t>R</w:t>
      </w:r>
      <w:r w:rsidRPr="00561642">
        <w:rPr>
          <w:rFonts w:ascii="Times New Roman" w:hAnsi="Times New Roman" w:cs="Times New Roman"/>
          <w:szCs w:val="24"/>
        </w:rPr>
        <w:t>eurb</w:t>
      </w:r>
      <w:proofErr w:type="spellEnd"/>
      <w:r w:rsidRPr="00561642">
        <w:rPr>
          <w:rFonts w:ascii="Times New Roman" w:hAnsi="Times New Roman" w:cs="Times New Roman"/>
          <w:szCs w:val="24"/>
        </w:rPr>
        <w:t xml:space="preserve"> é a alteração no mundo jurídico através da incorporação dos núcleos urbanos irregulares no ordenamento </w:t>
      </w:r>
      <w:r w:rsidR="00F1141B" w:rsidRPr="00561642">
        <w:rPr>
          <w:rFonts w:ascii="Times New Roman" w:hAnsi="Times New Roman" w:cs="Times New Roman"/>
          <w:szCs w:val="24"/>
        </w:rPr>
        <w:t>territorial urbano e à titulação dos ocupantes. Logo, não há impacto ambiental.</w:t>
      </w:r>
    </w:p>
    <w:p w14:paraId="46B2814E" w14:textId="77777777" w:rsidR="007C5FD3" w:rsidRPr="00561642" w:rsidRDefault="007C5FD3" w:rsidP="00DF4A7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B866F8" w14:textId="7861E073" w:rsidR="00DA7A64" w:rsidRPr="00561642" w:rsidRDefault="003200B9" w:rsidP="00997A36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Matriz de Risco:</w:t>
      </w:r>
    </w:p>
    <w:p w14:paraId="2E5C763A" w14:textId="77777777" w:rsidR="00DA7A64" w:rsidRPr="00561642" w:rsidRDefault="00DA7A64" w:rsidP="001E3D7D">
      <w:pPr>
        <w:pStyle w:val="PargrafodaLista"/>
        <w:spacing w:after="120"/>
        <w:ind w:left="284"/>
        <w:contextualSpacing w:val="0"/>
        <w:jc w:val="both"/>
        <w:rPr>
          <w:rFonts w:ascii="Times New Roman" w:eastAsia="Arial" w:hAnsi="Times New Roman" w:cs="Times New Roman"/>
          <w:szCs w:val="24"/>
        </w:rPr>
      </w:pPr>
      <w:r w:rsidRPr="00561642">
        <w:rPr>
          <w:rFonts w:ascii="Times New Roman" w:eastAsia="Arial" w:hAnsi="Times New Roman" w:cs="Times New Roman"/>
          <w:szCs w:val="24"/>
        </w:rPr>
        <w:lastRenderedPageBreak/>
        <w:t>A Matriz de Risco é o instrumento que tem o objetivo de definir as responsabilidades da CONTRATANTE e da CONTRATADA na execução do contrato e está transcrita abaixo:</w:t>
      </w:r>
    </w:p>
    <w:p w14:paraId="49177A95" w14:textId="77777777" w:rsidR="007C5FD3" w:rsidRPr="00561642" w:rsidRDefault="007C5FD3" w:rsidP="001E3D7D">
      <w:pPr>
        <w:pStyle w:val="PargrafodaLista"/>
        <w:spacing w:after="120"/>
        <w:ind w:left="284"/>
        <w:contextualSpacing w:val="0"/>
        <w:jc w:val="both"/>
        <w:rPr>
          <w:rFonts w:ascii="Times New Roman" w:eastAsia="Arial" w:hAnsi="Times New Roman" w:cs="Times New Roman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048"/>
        <w:gridCol w:w="1488"/>
        <w:gridCol w:w="3686"/>
      </w:tblGrid>
      <w:tr w:rsidR="00DA7A64" w:rsidRPr="00561642" w14:paraId="505DC623" w14:textId="77777777" w:rsidTr="00D375FD">
        <w:trPr>
          <w:trHeight w:val="796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7473D92C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b/>
                <w:i/>
                <w:szCs w:val="24"/>
              </w:rPr>
              <w:t>N°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B5F70A3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b/>
                <w:i/>
                <w:szCs w:val="24"/>
              </w:rPr>
              <w:t>RISCO</w:t>
            </w:r>
          </w:p>
        </w:tc>
        <w:tc>
          <w:tcPr>
            <w:tcW w:w="3048" w:type="dxa"/>
            <w:shd w:val="clear" w:color="auto" w:fill="DBE5F1" w:themeFill="accent1" w:themeFillTint="33"/>
            <w:vAlign w:val="center"/>
          </w:tcPr>
          <w:p w14:paraId="3770D63C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b/>
                <w:i/>
                <w:szCs w:val="24"/>
              </w:rPr>
              <w:t>DEFINIÇÃO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14:paraId="7ED79E66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b/>
                <w:i/>
                <w:szCs w:val="24"/>
              </w:rPr>
              <w:t>ALOCAÇÃO DO RISCO/ÔNUS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0E4B0C2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b/>
                <w:i/>
                <w:szCs w:val="24"/>
              </w:rPr>
              <w:t>MITIGAÇÃO</w:t>
            </w:r>
          </w:p>
        </w:tc>
      </w:tr>
      <w:tr w:rsidR="00DA7A64" w:rsidRPr="00561642" w14:paraId="7A162E6F" w14:textId="77777777" w:rsidTr="00D375FD">
        <w:trPr>
          <w:trHeight w:val="130"/>
        </w:trPr>
        <w:tc>
          <w:tcPr>
            <w:tcW w:w="568" w:type="dxa"/>
            <w:shd w:val="clear" w:color="auto" w:fill="auto"/>
            <w:vAlign w:val="center"/>
          </w:tcPr>
          <w:p w14:paraId="38870761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F32E5D6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Social/Projeto</w:t>
            </w:r>
          </w:p>
        </w:tc>
        <w:tc>
          <w:tcPr>
            <w:tcW w:w="3048" w:type="dxa"/>
            <w:shd w:val="clear" w:color="auto" w:fill="auto"/>
          </w:tcPr>
          <w:p w14:paraId="4EA8152A" w14:textId="64AEBFED" w:rsidR="00DA7A64" w:rsidRPr="00561642" w:rsidRDefault="00DA7A64" w:rsidP="003200B9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Inconsistências nas informações passadas pelo</w:t>
            </w:r>
            <w:r w:rsidR="003200B9">
              <w:rPr>
                <w:rFonts w:ascii="Times New Roman" w:eastAsia="Arial" w:hAnsi="Times New Roman" w:cs="Times New Roman"/>
                <w:i/>
                <w:szCs w:val="24"/>
              </w:rPr>
              <w:t xml:space="preserve"> município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e que podem implicar em dificuldades e problemas na execução do contrato.</w:t>
            </w:r>
          </w:p>
        </w:tc>
        <w:tc>
          <w:tcPr>
            <w:tcW w:w="1488" w:type="dxa"/>
            <w:shd w:val="clear" w:color="auto" w:fill="auto"/>
          </w:tcPr>
          <w:p w14:paraId="2140BE9B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Ambos</w:t>
            </w:r>
          </w:p>
        </w:tc>
        <w:tc>
          <w:tcPr>
            <w:tcW w:w="3686" w:type="dxa"/>
            <w:shd w:val="clear" w:color="auto" w:fill="auto"/>
          </w:tcPr>
          <w:p w14:paraId="4BDD0BB0" w14:textId="0BFE395A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Fatos imprevistos e imputáveis a terceiros, justificam eventuais pedidos de supressão ou acréscimo, desd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e que devidamente aprovados pelo Município e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D375FD">
              <w:rPr>
                <w:rFonts w:ascii="Times New Roman" w:eastAsia="Arial" w:hAnsi="Times New Roman" w:cs="Times New Roman"/>
                <w:i/>
                <w:szCs w:val="24"/>
              </w:rPr>
              <w:t>COHAPAR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  <w:tr w:rsidR="00DA7A64" w:rsidRPr="00561642" w14:paraId="60568E3C" w14:textId="77777777" w:rsidTr="00D375FD">
        <w:trPr>
          <w:trHeight w:val="130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40004DD0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14:paraId="0A1DD0BD" w14:textId="77777777" w:rsidR="00BF6C78" w:rsidRPr="00561642" w:rsidRDefault="00BF6C78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</w:p>
          <w:p w14:paraId="34DD928A" w14:textId="77777777" w:rsidR="00BF6C78" w:rsidRPr="00561642" w:rsidRDefault="00BF6C78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</w:p>
          <w:p w14:paraId="66B5F735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Social</w:t>
            </w:r>
          </w:p>
        </w:tc>
        <w:tc>
          <w:tcPr>
            <w:tcW w:w="3048" w:type="dxa"/>
            <w:shd w:val="clear" w:color="auto" w:fill="DBE5F1" w:themeFill="accent1" w:themeFillTint="33"/>
          </w:tcPr>
          <w:p w14:paraId="6DD99381" w14:textId="645F1BE5" w:rsidR="00DA7A64" w:rsidRPr="00561642" w:rsidRDefault="00BF6C78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Alteração das famílias residentes nos núcleos urbanos indicados em razão do tempo transcorrido até a efetivação do processo.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14:paraId="4EFCA13E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Contratada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CC29839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Substituição das famílias e da documentação das mesmas, conforme previsto no objeto.</w:t>
            </w:r>
          </w:p>
        </w:tc>
      </w:tr>
      <w:tr w:rsidR="00DA7A64" w:rsidRPr="00561642" w14:paraId="0A5354D3" w14:textId="77777777" w:rsidTr="00D375FD">
        <w:trPr>
          <w:trHeight w:val="130"/>
        </w:trPr>
        <w:tc>
          <w:tcPr>
            <w:tcW w:w="568" w:type="dxa"/>
            <w:shd w:val="clear" w:color="auto" w:fill="auto"/>
            <w:vAlign w:val="center"/>
          </w:tcPr>
          <w:p w14:paraId="739B713B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D53D1AE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Atraso no pagamento da execução dos serviços</w:t>
            </w:r>
          </w:p>
        </w:tc>
        <w:tc>
          <w:tcPr>
            <w:tcW w:w="3048" w:type="dxa"/>
            <w:shd w:val="clear" w:color="auto" w:fill="auto"/>
          </w:tcPr>
          <w:p w14:paraId="039FD3C3" w14:textId="0373996F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Atraso no repasse de recursos pela Secretaria de Fazenda do Estado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do Paraná e/ou pelo Município.</w:t>
            </w:r>
          </w:p>
        </w:tc>
        <w:tc>
          <w:tcPr>
            <w:tcW w:w="1488" w:type="dxa"/>
            <w:shd w:val="clear" w:color="auto" w:fill="auto"/>
          </w:tcPr>
          <w:p w14:paraId="258B8143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Contratante</w:t>
            </w:r>
          </w:p>
        </w:tc>
        <w:tc>
          <w:tcPr>
            <w:tcW w:w="3686" w:type="dxa"/>
            <w:shd w:val="clear" w:color="auto" w:fill="auto"/>
          </w:tcPr>
          <w:p w14:paraId="73EA9B43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Atualização – correção monetária.</w:t>
            </w:r>
          </w:p>
        </w:tc>
      </w:tr>
      <w:tr w:rsidR="00DA7A64" w:rsidRPr="00561642" w14:paraId="65D36D29" w14:textId="77777777" w:rsidTr="00D375FD">
        <w:trPr>
          <w:trHeight w:val="130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39E9E351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4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14:paraId="5CC26AE6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Responsabilidade civil quanto a terceiros</w:t>
            </w:r>
          </w:p>
        </w:tc>
        <w:tc>
          <w:tcPr>
            <w:tcW w:w="3048" w:type="dxa"/>
            <w:shd w:val="clear" w:color="auto" w:fill="DBE5F1" w:themeFill="accent1" w:themeFillTint="33"/>
          </w:tcPr>
          <w:p w14:paraId="298BD68B" w14:textId="04D1EEC6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Custos por prejuízos causados a terceiros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14:paraId="74B255EE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Contratada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8977794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Os custos deverão ser arcados pela contratada.</w:t>
            </w:r>
          </w:p>
        </w:tc>
      </w:tr>
      <w:tr w:rsidR="00DA7A64" w:rsidRPr="00561642" w14:paraId="4722B46D" w14:textId="77777777" w:rsidTr="00D375FD">
        <w:trPr>
          <w:trHeight w:val="130"/>
        </w:trPr>
        <w:tc>
          <w:tcPr>
            <w:tcW w:w="568" w:type="dxa"/>
            <w:shd w:val="clear" w:color="auto" w:fill="auto"/>
            <w:vAlign w:val="center"/>
          </w:tcPr>
          <w:p w14:paraId="7B0FBC98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5C31958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Mudanças </w:t>
            </w: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tributárias/trabalhistas</w:t>
            </w:r>
            <w:proofErr w:type="gramEnd"/>
          </w:p>
        </w:tc>
        <w:tc>
          <w:tcPr>
            <w:tcW w:w="3048" w:type="dxa"/>
            <w:shd w:val="clear" w:color="auto" w:fill="auto"/>
          </w:tcPr>
          <w:p w14:paraId="48AFFDD7" w14:textId="4C5C8025" w:rsidR="00DA7A64" w:rsidRPr="00561642" w:rsidRDefault="00DA7A64" w:rsidP="00BF6C78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Mudança 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n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a legislação tributária que reduza ou 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aumente os custos dos serviços, 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exce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to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mudança sobre o imposto de renda.</w:t>
            </w:r>
          </w:p>
        </w:tc>
        <w:tc>
          <w:tcPr>
            <w:tcW w:w="1488" w:type="dxa"/>
            <w:shd w:val="clear" w:color="auto" w:fill="auto"/>
          </w:tcPr>
          <w:p w14:paraId="22A9F5C7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Ambos</w:t>
            </w:r>
          </w:p>
        </w:tc>
        <w:tc>
          <w:tcPr>
            <w:tcW w:w="3686" w:type="dxa"/>
            <w:shd w:val="clear" w:color="auto" w:fill="auto"/>
          </w:tcPr>
          <w:p w14:paraId="6D469082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Readequação do equilíbrio econômico-financeiro.</w:t>
            </w:r>
          </w:p>
        </w:tc>
      </w:tr>
      <w:tr w:rsidR="00DA7A64" w:rsidRPr="00561642" w14:paraId="21C5D692" w14:textId="77777777" w:rsidTr="00D375FD">
        <w:trPr>
          <w:trHeight w:val="130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19709457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6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14:paraId="0EF77FD0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Responsabilidade Civil</w:t>
            </w:r>
          </w:p>
        </w:tc>
        <w:tc>
          <w:tcPr>
            <w:tcW w:w="3048" w:type="dxa"/>
            <w:shd w:val="clear" w:color="auto" w:fill="DBE5F1" w:themeFill="accent1" w:themeFillTint="33"/>
          </w:tcPr>
          <w:p w14:paraId="47EEF680" w14:textId="13ACFAA3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Tratamento de dados sensíveis dos beneficiários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14:paraId="35735F39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Contratada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618D591" w14:textId="2AF69D3F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Inclusão da exigência de adequação à LGPD no edital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  <w:tr w:rsidR="00DA7A64" w:rsidRPr="00561642" w14:paraId="7CBD426B" w14:textId="77777777" w:rsidTr="00D375FD">
        <w:trPr>
          <w:trHeight w:val="130"/>
        </w:trPr>
        <w:tc>
          <w:tcPr>
            <w:tcW w:w="568" w:type="dxa"/>
            <w:shd w:val="clear" w:color="auto" w:fill="auto"/>
            <w:vAlign w:val="center"/>
          </w:tcPr>
          <w:p w14:paraId="3DC57009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A67F0AB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Retrabalho na execução dos serviços</w:t>
            </w:r>
          </w:p>
        </w:tc>
        <w:tc>
          <w:tcPr>
            <w:tcW w:w="3048" w:type="dxa"/>
            <w:shd w:val="clear" w:color="auto" w:fill="auto"/>
          </w:tcPr>
          <w:p w14:paraId="6088C36F" w14:textId="6E1807F8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Necessidade de nova execução dos serviços por erros de execução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  <w:tc>
          <w:tcPr>
            <w:tcW w:w="1488" w:type="dxa"/>
            <w:shd w:val="clear" w:color="auto" w:fill="auto"/>
          </w:tcPr>
          <w:p w14:paraId="79BE6811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Contratada</w:t>
            </w:r>
          </w:p>
        </w:tc>
        <w:tc>
          <w:tcPr>
            <w:tcW w:w="3686" w:type="dxa"/>
            <w:shd w:val="clear" w:color="auto" w:fill="auto"/>
          </w:tcPr>
          <w:p w14:paraId="18AB3FDA" w14:textId="2322C766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Risco assumido pela contratada, inerente </w:t>
            </w:r>
            <w:r w:rsidR="003200B9" w:rsidRPr="00561642">
              <w:rPr>
                <w:rFonts w:ascii="Times New Roman" w:eastAsia="Arial" w:hAnsi="Times New Roman" w:cs="Times New Roman"/>
                <w:i/>
                <w:szCs w:val="24"/>
              </w:rPr>
              <w:t>à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gestão dos serviços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  <w:tr w:rsidR="00DA7A64" w:rsidRPr="00561642" w14:paraId="1CD89376" w14:textId="77777777" w:rsidTr="00D375FD">
        <w:trPr>
          <w:trHeight w:val="130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p w14:paraId="03A9F3DE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8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14:paraId="29FD3BD4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Epidemia</w:t>
            </w:r>
          </w:p>
        </w:tc>
        <w:tc>
          <w:tcPr>
            <w:tcW w:w="3048" w:type="dxa"/>
            <w:shd w:val="clear" w:color="auto" w:fill="DBE5F1" w:themeFill="accent1" w:themeFillTint="33"/>
          </w:tcPr>
          <w:p w14:paraId="72ED05FC" w14:textId="2ED0FA63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Ocorrência de epidemia grave, impactando a disponibilidade de mão de obra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14:paraId="0A0B89D0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Ambos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7B2AE60" w14:textId="76CB8D26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Prorrogação do prazo por impossibilidade de execução dos serviços pela Contratada, com processo previamente aprovado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pelo</w:t>
            </w: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Município e </w:t>
            </w:r>
            <w:r w:rsidR="00D375FD">
              <w:rPr>
                <w:rFonts w:ascii="Times New Roman" w:eastAsia="Arial" w:hAnsi="Times New Roman" w:cs="Times New Roman"/>
                <w:i/>
                <w:szCs w:val="24"/>
              </w:rPr>
              <w:t>COHAPAR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  <w:tr w:rsidR="00DA7A64" w:rsidRPr="00561642" w14:paraId="61A9EFB0" w14:textId="77777777" w:rsidTr="00D375FD">
        <w:trPr>
          <w:trHeight w:val="130"/>
        </w:trPr>
        <w:tc>
          <w:tcPr>
            <w:tcW w:w="568" w:type="dxa"/>
            <w:shd w:val="clear" w:color="auto" w:fill="auto"/>
            <w:vAlign w:val="center"/>
          </w:tcPr>
          <w:p w14:paraId="3B9DCFA3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proofErr w:type="gramStart"/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9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0337BC7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Atraso na aprovação dos projetos</w:t>
            </w:r>
          </w:p>
        </w:tc>
        <w:tc>
          <w:tcPr>
            <w:tcW w:w="3048" w:type="dxa"/>
            <w:shd w:val="clear" w:color="auto" w:fill="auto"/>
          </w:tcPr>
          <w:p w14:paraId="422059C9" w14:textId="1D1A78B4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Atraso na aprovação dos projetos por responsabilidade de terceiros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  <w:tc>
          <w:tcPr>
            <w:tcW w:w="1488" w:type="dxa"/>
            <w:shd w:val="clear" w:color="auto" w:fill="auto"/>
          </w:tcPr>
          <w:p w14:paraId="6E213B59" w14:textId="77777777" w:rsidR="00DA7A64" w:rsidRPr="00561642" w:rsidRDefault="00DA7A64" w:rsidP="00DA7A64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>Ambos</w:t>
            </w:r>
          </w:p>
        </w:tc>
        <w:tc>
          <w:tcPr>
            <w:tcW w:w="3686" w:type="dxa"/>
            <w:shd w:val="clear" w:color="auto" w:fill="auto"/>
          </w:tcPr>
          <w:p w14:paraId="0BEEC28A" w14:textId="7371489C" w:rsidR="00DA7A64" w:rsidRPr="00561642" w:rsidRDefault="00DA7A64" w:rsidP="00BF6C78">
            <w:pPr>
              <w:widowControl w:val="0"/>
              <w:tabs>
                <w:tab w:val="left" w:pos="8505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Prorrogação do prazo por impossibilidade de execução dos serviços pela Contratada, com processo previamente aprovado 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 xml:space="preserve">pelo Município e </w:t>
            </w:r>
            <w:r w:rsidR="00D375FD">
              <w:rPr>
                <w:rFonts w:ascii="Times New Roman" w:eastAsia="Arial" w:hAnsi="Times New Roman" w:cs="Times New Roman"/>
                <w:i/>
                <w:szCs w:val="24"/>
              </w:rPr>
              <w:t>COHAPAR</w:t>
            </w:r>
            <w:r w:rsidR="00BF6C78" w:rsidRPr="0056164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</w:tbl>
    <w:p w14:paraId="592F031F" w14:textId="77777777" w:rsidR="001E3D7D" w:rsidRDefault="001E3D7D" w:rsidP="001E3D7D">
      <w:pPr>
        <w:pStyle w:val="PargrafodaLista"/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8486B93" w14:textId="77777777" w:rsidR="003200B9" w:rsidRDefault="003200B9" w:rsidP="001E3D7D">
      <w:pPr>
        <w:pStyle w:val="PargrafodaLista"/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D539FDF" w14:textId="77777777" w:rsidR="003200B9" w:rsidRDefault="003200B9" w:rsidP="001E3D7D">
      <w:pPr>
        <w:pStyle w:val="PargrafodaLista"/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6C291410" w14:textId="77777777" w:rsidR="003200B9" w:rsidRPr="00561642" w:rsidRDefault="003200B9" w:rsidP="001E3D7D">
      <w:pPr>
        <w:pStyle w:val="PargrafodaLista"/>
        <w:spacing w:after="120"/>
        <w:ind w:left="284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3B6EA8A9" w14:textId="7EF392C9" w:rsidR="00F13C4E" w:rsidRPr="00561642" w:rsidRDefault="00A125E9" w:rsidP="00997A36">
      <w:pPr>
        <w:pStyle w:val="PargrafodaLista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="005A74F5" w:rsidRPr="00561642">
        <w:rPr>
          <w:rFonts w:ascii="Times New Roman" w:hAnsi="Times New Roman" w:cs="Times New Roman"/>
          <w:b/>
          <w:szCs w:val="24"/>
        </w:rPr>
        <w:t>Pos</w:t>
      </w:r>
      <w:r w:rsidR="00164F68" w:rsidRPr="00561642">
        <w:rPr>
          <w:rFonts w:ascii="Times New Roman" w:hAnsi="Times New Roman" w:cs="Times New Roman"/>
          <w:b/>
          <w:szCs w:val="24"/>
        </w:rPr>
        <w:t xml:space="preserve">icionamento conclusivo sobre </w:t>
      </w:r>
      <w:r w:rsidR="005A74F5" w:rsidRPr="00561642">
        <w:rPr>
          <w:rFonts w:ascii="Times New Roman" w:hAnsi="Times New Roman" w:cs="Times New Roman"/>
          <w:b/>
          <w:szCs w:val="24"/>
        </w:rPr>
        <w:t>a adequação da contratação</w:t>
      </w:r>
      <w:r w:rsidR="003200B9">
        <w:rPr>
          <w:rFonts w:ascii="Times New Roman" w:hAnsi="Times New Roman" w:cs="Times New Roman"/>
          <w:b/>
          <w:szCs w:val="24"/>
        </w:rPr>
        <w:t>:</w:t>
      </w:r>
      <w:bookmarkStart w:id="0" w:name="_GoBack"/>
      <w:bookmarkEnd w:id="0"/>
      <w:r w:rsidR="00164F68" w:rsidRPr="00561642">
        <w:rPr>
          <w:rFonts w:ascii="Times New Roman" w:hAnsi="Times New Roman" w:cs="Times New Roman"/>
          <w:b/>
          <w:szCs w:val="24"/>
        </w:rPr>
        <w:t xml:space="preserve"> </w:t>
      </w:r>
    </w:p>
    <w:p w14:paraId="30699802" w14:textId="388B664C" w:rsidR="00C30644" w:rsidRPr="00561642" w:rsidRDefault="00C30644" w:rsidP="00C30644">
      <w:pPr>
        <w:spacing w:before="24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561642">
        <w:rPr>
          <w:rFonts w:ascii="Times New Roman" w:eastAsia="Calibri" w:hAnsi="Times New Roman" w:cs="Times New Roman"/>
          <w:szCs w:val="24"/>
        </w:rPr>
        <w:t>Com base nas informações levantadas durante o presente Estudo Técnico Preliminar a equipe declara que a contratação é viável.</w:t>
      </w:r>
    </w:p>
    <w:p w14:paraId="6D52A4ED" w14:textId="54A15A97" w:rsidR="00C30644" w:rsidRPr="00561642" w:rsidRDefault="00C30644" w:rsidP="00C30644">
      <w:p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561642">
        <w:rPr>
          <w:rFonts w:ascii="Times New Roman" w:eastAsia="Calibri" w:hAnsi="Times New Roman" w:cs="Times New Roman"/>
          <w:szCs w:val="24"/>
        </w:rPr>
        <w:t xml:space="preserve">Desta forma, a equipe de planejamento responsável pela elaboração do ETP, pode afirmar de maneira técnica e conclusiva que os Estudos Técnicos Preliminares evidenciaram que existe viabilidade em relação aos critérios estabelecidos </w:t>
      </w:r>
      <w:r w:rsidR="00BF6C78" w:rsidRPr="00561642">
        <w:rPr>
          <w:rFonts w:ascii="Times New Roman" w:eastAsia="Calibri" w:hAnsi="Times New Roman" w:cs="Times New Roman"/>
          <w:szCs w:val="24"/>
        </w:rPr>
        <w:t>na Lei nº 14.133/2021 - de Licitações e Contratos Administrativos</w:t>
      </w:r>
      <w:r w:rsidRPr="00561642">
        <w:rPr>
          <w:rFonts w:ascii="Times New Roman" w:eastAsia="Calibri" w:hAnsi="Times New Roman" w:cs="Times New Roman"/>
          <w:szCs w:val="24"/>
        </w:rPr>
        <w:t>, confirmando que, com a solução encontrada a necessidade que gerou o estudo será atendida.</w:t>
      </w:r>
    </w:p>
    <w:p w14:paraId="4F2F9750" w14:textId="19DC7309" w:rsidR="00192FCC" w:rsidRPr="00561642" w:rsidRDefault="00BF6C78" w:rsidP="00C30644">
      <w:p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561642">
        <w:rPr>
          <w:rFonts w:ascii="Times New Roman" w:eastAsia="Calibri" w:hAnsi="Times New Roman" w:cs="Times New Roman"/>
          <w:szCs w:val="24"/>
        </w:rPr>
        <w:t>Portan</w:t>
      </w:r>
      <w:r w:rsidR="0097214C">
        <w:rPr>
          <w:rFonts w:ascii="Times New Roman" w:eastAsia="Calibri" w:hAnsi="Times New Roman" w:cs="Times New Roman"/>
          <w:szCs w:val="24"/>
        </w:rPr>
        <w:t>t</w:t>
      </w:r>
      <w:r w:rsidRPr="00561642">
        <w:rPr>
          <w:rFonts w:ascii="Times New Roman" w:eastAsia="Calibri" w:hAnsi="Times New Roman" w:cs="Times New Roman"/>
          <w:szCs w:val="24"/>
        </w:rPr>
        <w:t xml:space="preserve">o, concluímos que a contratação </w:t>
      </w:r>
      <w:r w:rsidR="00C30644" w:rsidRPr="00561642">
        <w:rPr>
          <w:rFonts w:ascii="Times New Roman" w:eastAsia="Calibri" w:hAnsi="Times New Roman" w:cs="Times New Roman"/>
          <w:szCs w:val="24"/>
        </w:rPr>
        <w:t>é viável</w:t>
      </w:r>
      <w:r w:rsidRPr="00561642">
        <w:rPr>
          <w:rFonts w:ascii="Times New Roman" w:eastAsia="Calibri" w:hAnsi="Times New Roman" w:cs="Times New Roman"/>
          <w:szCs w:val="24"/>
        </w:rPr>
        <w:t xml:space="preserve"> e necessária para avanço nas ações de ordenamento territorial e segurança jurídica das famílias residentes no Município.</w:t>
      </w:r>
    </w:p>
    <w:p w14:paraId="664D5505" w14:textId="77777777" w:rsidR="008E7AA8" w:rsidRPr="00561642" w:rsidRDefault="008E7AA8" w:rsidP="00DF4A7D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3FC38645" w14:textId="03A3196E" w:rsidR="008E7AA8" w:rsidRPr="00561642" w:rsidRDefault="00BF6C78" w:rsidP="00F755B7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561642">
        <w:rPr>
          <w:rFonts w:ascii="Times New Roman" w:hAnsi="Times New Roman" w:cs="Times New Roman"/>
          <w:szCs w:val="24"/>
          <w:highlight w:val="yellow"/>
        </w:rPr>
        <w:t>Município</w:t>
      </w:r>
      <w:r w:rsidR="008E7AA8" w:rsidRPr="00561642">
        <w:rPr>
          <w:rFonts w:ascii="Times New Roman" w:hAnsi="Times New Roman" w:cs="Times New Roman"/>
          <w:szCs w:val="24"/>
          <w:highlight w:val="yellow"/>
        </w:rPr>
        <w:t>,</w:t>
      </w:r>
      <w:proofErr w:type="gramStart"/>
      <w:r w:rsidR="008E7AA8" w:rsidRPr="00561642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561642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proofErr w:type="gramEnd"/>
      <w:r w:rsidRPr="00561642">
        <w:rPr>
          <w:rFonts w:ascii="Times New Roman" w:hAnsi="Times New Roman" w:cs="Times New Roman"/>
          <w:szCs w:val="24"/>
          <w:highlight w:val="yellow"/>
        </w:rPr>
        <w:t>xxxxx</w:t>
      </w:r>
      <w:proofErr w:type="spellEnd"/>
      <w:r w:rsidRPr="00561642">
        <w:rPr>
          <w:rFonts w:ascii="Times New Roman" w:hAnsi="Times New Roman" w:cs="Times New Roman"/>
          <w:szCs w:val="24"/>
          <w:highlight w:val="yellow"/>
        </w:rPr>
        <w:t xml:space="preserve"> de </w:t>
      </w:r>
      <w:proofErr w:type="spellStart"/>
      <w:r w:rsidRPr="00561642">
        <w:rPr>
          <w:rFonts w:ascii="Times New Roman" w:hAnsi="Times New Roman" w:cs="Times New Roman"/>
          <w:szCs w:val="24"/>
          <w:highlight w:val="yellow"/>
        </w:rPr>
        <w:t>xxxxx</w:t>
      </w:r>
      <w:proofErr w:type="spellEnd"/>
      <w:r w:rsidRPr="00561642">
        <w:rPr>
          <w:rFonts w:ascii="Times New Roman" w:hAnsi="Times New Roman" w:cs="Times New Roman"/>
          <w:szCs w:val="24"/>
          <w:highlight w:val="yellow"/>
        </w:rPr>
        <w:t xml:space="preserve"> de 2025</w:t>
      </w:r>
      <w:r w:rsidR="008E7AA8" w:rsidRPr="00561642">
        <w:rPr>
          <w:rFonts w:ascii="Times New Roman" w:hAnsi="Times New Roman" w:cs="Times New Roman"/>
          <w:szCs w:val="24"/>
          <w:highlight w:val="yellow"/>
        </w:rPr>
        <w:t>.</w:t>
      </w:r>
    </w:p>
    <w:p w14:paraId="19249F78" w14:textId="77777777" w:rsidR="0087053D" w:rsidRPr="00561642" w:rsidRDefault="0087053D" w:rsidP="003166F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D0685ED" w14:textId="77777777" w:rsidR="0087053D" w:rsidRPr="00561642" w:rsidRDefault="0087053D" w:rsidP="003166F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29233DD" w14:textId="09DC5EC0" w:rsidR="00133B17" w:rsidRPr="00561642" w:rsidRDefault="00BF6C78" w:rsidP="00BF6C78">
      <w:pPr>
        <w:tabs>
          <w:tab w:val="left" w:pos="5447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61642">
        <w:rPr>
          <w:rFonts w:ascii="Times New Roman" w:hAnsi="Times New Roman" w:cs="Times New Roman"/>
          <w:szCs w:val="24"/>
          <w:highlight w:val="yellow"/>
        </w:rPr>
        <w:t>Nome dos integrantes do ETP</w:t>
      </w:r>
    </w:p>
    <w:sectPr w:rsidR="00133B17" w:rsidRPr="00561642" w:rsidSect="00D42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F4B811" w15:done="0"/>
  <w15:commentEx w15:paraId="266E158B" w15:done="0"/>
  <w15:commentEx w15:paraId="77AB2891" w15:done="0"/>
  <w15:commentEx w15:paraId="69422F23" w15:done="0"/>
  <w15:commentEx w15:paraId="50A2377D" w15:done="0"/>
  <w15:commentEx w15:paraId="1B9A1BE0" w15:paraIdParent="50A2377D" w15:done="0"/>
  <w15:commentEx w15:paraId="6B0C61F0" w15:done="0"/>
  <w15:commentEx w15:paraId="36F532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251F" w16cex:dateUtc="2022-08-19T18:05:00Z"/>
  <w16cex:commentExtensible w16cex:durableId="26AA255B" w16cex:dateUtc="2022-08-19T18:06:00Z"/>
  <w16cex:commentExtensible w16cex:durableId="26AA25D7" w16cex:dateUtc="2022-08-19T18:08:00Z"/>
  <w16cex:commentExtensible w16cex:durableId="26AA261A" w16cex:dateUtc="2022-08-19T18:09:00Z"/>
  <w16cex:commentExtensible w16cex:durableId="26AA26A0" w16cex:dateUtc="2022-08-19T18:11:00Z"/>
  <w16cex:commentExtensible w16cex:durableId="26AA26C6" w16cex:dateUtc="2022-08-19T18:12:00Z"/>
  <w16cex:commentExtensible w16cex:durableId="26AA26FE" w16cex:dateUtc="2022-08-19T18:13:00Z"/>
  <w16cex:commentExtensible w16cex:durableId="26AA3557" w16cex:dateUtc="2022-08-19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4B811" w16cid:durableId="26AA251F"/>
  <w16cid:commentId w16cid:paraId="266E158B" w16cid:durableId="26AA255B"/>
  <w16cid:commentId w16cid:paraId="77AB2891" w16cid:durableId="26AA25D7"/>
  <w16cid:commentId w16cid:paraId="69422F23" w16cid:durableId="26AA261A"/>
  <w16cid:commentId w16cid:paraId="50A2377D" w16cid:durableId="26AA26A0"/>
  <w16cid:commentId w16cid:paraId="1B9A1BE0" w16cid:durableId="26AA26C6"/>
  <w16cid:commentId w16cid:paraId="6B0C61F0" w16cid:durableId="26AA26FE"/>
  <w16cid:commentId w16cid:paraId="36F532BA" w16cid:durableId="26AA35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D4D6D" w14:textId="77777777" w:rsidR="007C6E02" w:rsidRDefault="007C6E02" w:rsidP="00D42E27">
      <w:pPr>
        <w:spacing w:after="0" w:line="240" w:lineRule="auto"/>
      </w:pPr>
      <w:r>
        <w:separator/>
      </w:r>
    </w:p>
  </w:endnote>
  <w:endnote w:type="continuationSeparator" w:id="0">
    <w:p w14:paraId="5EC79D97" w14:textId="77777777" w:rsidR="007C6E02" w:rsidRDefault="007C6E02" w:rsidP="00D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D0A1" w14:textId="77777777" w:rsidR="007C6E02" w:rsidRDefault="007C6E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D4DB" w14:textId="77777777" w:rsidR="007C6E02" w:rsidRDefault="007C6E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0390" w14:textId="77777777" w:rsidR="007C6E02" w:rsidRDefault="007C6E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4D527" w14:textId="77777777" w:rsidR="007C6E02" w:rsidRDefault="007C6E02" w:rsidP="00D42E27">
      <w:pPr>
        <w:spacing w:after="0" w:line="240" w:lineRule="auto"/>
      </w:pPr>
      <w:r>
        <w:separator/>
      </w:r>
    </w:p>
  </w:footnote>
  <w:footnote w:type="continuationSeparator" w:id="0">
    <w:p w14:paraId="415F023D" w14:textId="77777777" w:rsidR="007C6E02" w:rsidRDefault="007C6E02" w:rsidP="00D4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6C80" w14:textId="167AFFD9" w:rsidR="007C6E02" w:rsidRDefault="007C6E02">
    <w:pPr>
      <w:pStyle w:val="Cabealho"/>
    </w:pPr>
    <w:r>
      <w:rPr>
        <w:noProof/>
      </w:rPr>
      <w:pict w14:anchorId="54CEA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790157" o:spid="_x0000_s6146" type="#_x0000_t136" style="position:absolute;margin-left:0;margin-top:0;width:572.15pt;height:12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93FF" w14:textId="3E5705CF" w:rsidR="007C6E02" w:rsidRDefault="007C6E02">
    <w:pPr>
      <w:pStyle w:val="Cabealho"/>
    </w:pPr>
    <w:r>
      <w:rPr>
        <w:noProof/>
      </w:rPr>
      <w:pict w14:anchorId="09312B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790158" o:spid="_x0000_s6147" type="#_x0000_t136" style="position:absolute;margin-left:0;margin-top:0;width:572.15pt;height:12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MODELO"/>
          <w10:wrap anchorx="margin" anchory="margin"/>
        </v:shape>
      </w:pict>
    </w:r>
    <w: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FC88" w14:textId="5031E31F" w:rsidR="007C6E02" w:rsidRDefault="007C6E02">
    <w:pPr>
      <w:pStyle w:val="Cabealho"/>
    </w:pPr>
    <w:r>
      <w:rPr>
        <w:noProof/>
      </w:rPr>
      <w:pict w14:anchorId="0B297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790156" o:spid="_x0000_s6145" type="#_x0000_t136" style="position:absolute;margin-left:0;margin-top:0;width:572.15pt;height:12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B4A"/>
    <w:multiLevelType w:val="hybridMultilevel"/>
    <w:tmpl w:val="2E467884"/>
    <w:lvl w:ilvl="0" w:tplc="F1DC223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5F68"/>
    <w:multiLevelType w:val="multilevel"/>
    <w:tmpl w:val="19D43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0633EC7"/>
    <w:multiLevelType w:val="hybridMultilevel"/>
    <w:tmpl w:val="18AA8AA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4DB3F52"/>
    <w:multiLevelType w:val="hybridMultilevel"/>
    <w:tmpl w:val="5E1487FA"/>
    <w:lvl w:ilvl="0" w:tplc="B8F2A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652F18"/>
    <w:multiLevelType w:val="hybridMultilevel"/>
    <w:tmpl w:val="3F66B0A4"/>
    <w:lvl w:ilvl="0" w:tplc="1D2C8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63083"/>
    <w:multiLevelType w:val="hybridMultilevel"/>
    <w:tmpl w:val="707EF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11F1"/>
    <w:multiLevelType w:val="hybridMultilevel"/>
    <w:tmpl w:val="D962390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AB677B"/>
    <w:multiLevelType w:val="hybridMultilevel"/>
    <w:tmpl w:val="531E1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95C39"/>
    <w:multiLevelType w:val="hybridMultilevel"/>
    <w:tmpl w:val="7046AED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A6974"/>
    <w:multiLevelType w:val="hybridMultilevel"/>
    <w:tmpl w:val="8A22C9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nelius">
    <w15:presenceInfo w15:providerId="Windows Live" w15:userId="5cf155a2758e1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7"/>
    <w:rsid w:val="00000AE5"/>
    <w:rsid w:val="000018CA"/>
    <w:rsid w:val="000166B0"/>
    <w:rsid w:val="00031470"/>
    <w:rsid w:val="00046F17"/>
    <w:rsid w:val="0005074C"/>
    <w:rsid w:val="00050A7A"/>
    <w:rsid w:val="00075943"/>
    <w:rsid w:val="00082CF7"/>
    <w:rsid w:val="00085FA1"/>
    <w:rsid w:val="00095500"/>
    <w:rsid w:val="000B6D24"/>
    <w:rsid w:val="000C43CC"/>
    <w:rsid w:val="000D7529"/>
    <w:rsid w:val="000E239A"/>
    <w:rsid w:val="000E2439"/>
    <w:rsid w:val="000E2B22"/>
    <w:rsid w:val="000F4B17"/>
    <w:rsid w:val="001006B9"/>
    <w:rsid w:val="001056BD"/>
    <w:rsid w:val="0010573A"/>
    <w:rsid w:val="00112878"/>
    <w:rsid w:val="00122943"/>
    <w:rsid w:val="001246BA"/>
    <w:rsid w:val="001252F8"/>
    <w:rsid w:val="00133B17"/>
    <w:rsid w:val="0013487E"/>
    <w:rsid w:val="00136896"/>
    <w:rsid w:val="00137A82"/>
    <w:rsid w:val="00151253"/>
    <w:rsid w:val="00162ABE"/>
    <w:rsid w:val="00164F68"/>
    <w:rsid w:val="00176093"/>
    <w:rsid w:val="00180CE1"/>
    <w:rsid w:val="00183B06"/>
    <w:rsid w:val="00184DC1"/>
    <w:rsid w:val="00192FCC"/>
    <w:rsid w:val="00194218"/>
    <w:rsid w:val="001A0D13"/>
    <w:rsid w:val="001A3AAE"/>
    <w:rsid w:val="001A6A7B"/>
    <w:rsid w:val="001C2066"/>
    <w:rsid w:val="001C438A"/>
    <w:rsid w:val="001C4449"/>
    <w:rsid w:val="001C749F"/>
    <w:rsid w:val="001E16DC"/>
    <w:rsid w:val="001E3D7D"/>
    <w:rsid w:val="001E45DA"/>
    <w:rsid w:val="001E595B"/>
    <w:rsid w:val="002014BE"/>
    <w:rsid w:val="0021445A"/>
    <w:rsid w:val="002148DB"/>
    <w:rsid w:val="002224B8"/>
    <w:rsid w:val="002279C9"/>
    <w:rsid w:val="00247E87"/>
    <w:rsid w:val="00251B9B"/>
    <w:rsid w:val="0026014A"/>
    <w:rsid w:val="002629CA"/>
    <w:rsid w:val="002635EF"/>
    <w:rsid w:val="00263F4F"/>
    <w:rsid w:val="00264E8F"/>
    <w:rsid w:val="00274ABD"/>
    <w:rsid w:val="00293942"/>
    <w:rsid w:val="00293FFE"/>
    <w:rsid w:val="002C1C77"/>
    <w:rsid w:val="002D215B"/>
    <w:rsid w:val="002D4F81"/>
    <w:rsid w:val="002D6A3A"/>
    <w:rsid w:val="003051EE"/>
    <w:rsid w:val="003103D0"/>
    <w:rsid w:val="00316639"/>
    <w:rsid w:val="003166FB"/>
    <w:rsid w:val="003200B9"/>
    <w:rsid w:val="003206AB"/>
    <w:rsid w:val="003238C9"/>
    <w:rsid w:val="00326489"/>
    <w:rsid w:val="00335BBE"/>
    <w:rsid w:val="003365A4"/>
    <w:rsid w:val="003413A5"/>
    <w:rsid w:val="003777D7"/>
    <w:rsid w:val="00381AF7"/>
    <w:rsid w:val="003A0E32"/>
    <w:rsid w:val="003A1226"/>
    <w:rsid w:val="003A2720"/>
    <w:rsid w:val="003C132E"/>
    <w:rsid w:val="003F1DBB"/>
    <w:rsid w:val="003F76FB"/>
    <w:rsid w:val="004029C3"/>
    <w:rsid w:val="004061C7"/>
    <w:rsid w:val="00407FA6"/>
    <w:rsid w:val="004121E1"/>
    <w:rsid w:val="00417622"/>
    <w:rsid w:val="00420978"/>
    <w:rsid w:val="004273B5"/>
    <w:rsid w:val="0047268A"/>
    <w:rsid w:val="004817B4"/>
    <w:rsid w:val="00486837"/>
    <w:rsid w:val="00495A10"/>
    <w:rsid w:val="004A47B0"/>
    <w:rsid w:val="004B0D32"/>
    <w:rsid w:val="004B5306"/>
    <w:rsid w:val="004B5568"/>
    <w:rsid w:val="004E0A1B"/>
    <w:rsid w:val="004F15DB"/>
    <w:rsid w:val="004F47F2"/>
    <w:rsid w:val="004F7723"/>
    <w:rsid w:val="004F7A8D"/>
    <w:rsid w:val="00501E55"/>
    <w:rsid w:val="005057D6"/>
    <w:rsid w:val="00506D2A"/>
    <w:rsid w:val="00507375"/>
    <w:rsid w:val="0051379C"/>
    <w:rsid w:val="005164CC"/>
    <w:rsid w:val="00517466"/>
    <w:rsid w:val="0052366C"/>
    <w:rsid w:val="00524A39"/>
    <w:rsid w:val="005315AA"/>
    <w:rsid w:val="005465A9"/>
    <w:rsid w:val="0055274E"/>
    <w:rsid w:val="00560DF5"/>
    <w:rsid w:val="00561642"/>
    <w:rsid w:val="00563807"/>
    <w:rsid w:val="005644D0"/>
    <w:rsid w:val="0058090F"/>
    <w:rsid w:val="005819D3"/>
    <w:rsid w:val="00582288"/>
    <w:rsid w:val="00584395"/>
    <w:rsid w:val="00585301"/>
    <w:rsid w:val="0059235E"/>
    <w:rsid w:val="00594176"/>
    <w:rsid w:val="005A6DAC"/>
    <w:rsid w:val="005A74F5"/>
    <w:rsid w:val="005B49D1"/>
    <w:rsid w:val="005C49B5"/>
    <w:rsid w:val="005C4AF5"/>
    <w:rsid w:val="005F7E36"/>
    <w:rsid w:val="00607825"/>
    <w:rsid w:val="006131EB"/>
    <w:rsid w:val="00621EA6"/>
    <w:rsid w:val="0063072B"/>
    <w:rsid w:val="00645ADC"/>
    <w:rsid w:val="00650DB8"/>
    <w:rsid w:val="00651FA7"/>
    <w:rsid w:val="00652905"/>
    <w:rsid w:val="00657C51"/>
    <w:rsid w:val="0066120F"/>
    <w:rsid w:val="006704C3"/>
    <w:rsid w:val="00670C0F"/>
    <w:rsid w:val="00682DD5"/>
    <w:rsid w:val="00687D86"/>
    <w:rsid w:val="0069005D"/>
    <w:rsid w:val="006929B5"/>
    <w:rsid w:val="00693CCD"/>
    <w:rsid w:val="00696AD9"/>
    <w:rsid w:val="006A2E9D"/>
    <w:rsid w:val="006A33EA"/>
    <w:rsid w:val="006B152F"/>
    <w:rsid w:val="006B4DAA"/>
    <w:rsid w:val="006B4DFE"/>
    <w:rsid w:val="006E292A"/>
    <w:rsid w:val="006E455D"/>
    <w:rsid w:val="006F12FF"/>
    <w:rsid w:val="00710CF9"/>
    <w:rsid w:val="00716C31"/>
    <w:rsid w:val="00720957"/>
    <w:rsid w:val="00721DF4"/>
    <w:rsid w:val="007258C0"/>
    <w:rsid w:val="00745E04"/>
    <w:rsid w:val="00762683"/>
    <w:rsid w:val="0077544F"/>
    <w:rsid w:val="007760F6"/>
    <w:rsid w:val="0079057D"/>
    <w:rsid w:val="007909DB"/>
    <w:rsid w:val="0079718C"/>
    <w:rsid w:val="007B2D39"/>
    <w:rsid w:val="007B5071"/>
    <w:rsid w:val="007C0F80"/>
    <w:rsid w:val="007C5DA1"/>
    <w:rsid w:val="007C5FD3"/>
    <w:rsid w:val="007C6E02"/>
    <w:rsid w:val="007C7778"/>
    <w:rsid w:val="007D156D"/>
    <w:rsid w:val="007D5FDE"/>
    <w:rsid w:val="007F42DB"/>
    <w:rsid w:val="008023A8"/>
    <w:rsid w:val="00803429"/>
    <w:rsid w:val="00804F9F"/>
    <w:rsid w:val="00814986"/>
    <w:rsid w:val="008243EC"/>
    <w:rsid w:val="008265E3"/>
    <w:rsid w:val="00826927"/>
    <w:rsid w:val="00840CEC"/>
    <w:rsid w:val="0084279F"/>
    <w:rsid w:val="00853BA9"/>
    <w:rsid w:val="008637FC"/>
    <w:rsid w:val="008658D0"/>
    <w:rsid w:val="00867BB4"/>
    <w:rsid w:val="0087053D"/>
    <w:rsid w:val="00873C3E"/>
    <w:rsid w:val="00884957"/>
    <w:rsid w:val="008A26DF"/>
    <w:rsid w:val="008A7A1D"/>
    <w:rsid w:val="008B210E"/>
    <w:rsid w:val="008B67EF"/>
    <w:rsid w:val="008C01DF"/>
    <w:rsid w:val="008C5CB7"/>
    <w:rsid w:val="008D0BF4"/>
    <w:rsid w:val="008E4770"/>
    <w:rsid w:val="008E51EE"/>
    <w:rsid w:val="008E7AA8"/>
    <w:rsid w:val="008F0243"/>
    <w:rsid w:val="008F1A6E"/>
    <w:rsid w:val="00913AB5"/>
    <w:rsid w:val="00925E09"/>
    <w:rsid w:val="009265B0"/>
    <w:rsid w:val="00941D18"/>
    <w:rsid w:val="00951EB3"/>
    <w:rsid w:val="00961B8D"/>
    <w:rsid w:val="00961E0B"/>
    <w:rsid w:val="00962858"/>
    <w:rsid w:val="00965251"/>
    <w:rsid w:val="00971517"/>
    <w:rsid w:val="0097214C"/>
    <w:rsid w:val="00976F25"/>
    <w:rsid w:val="00990E4C"/>
    <w:rsid w:val="0099546A"/>
    <w:rsid w:val="00997A36"/>
    <w:rsid w:val="009A2CC1"/>
    <w:rsid w:val="009A5993"/>
    <w:rsid w:val="009C0380"/>
    <w:rsid w:val="009C302A"/>
    <w:rsid w:val="009C4815"/>
    <w:rsid w:val="00A00CCD"/>
    <w:rsid w:val="00A01F1B"/>
    <w:rsid w:val="00A03C1B"/>
    <w:rsid w:val="00A062E6"/>
    <w:rsid w:val="00A125E9"/>
    <w:rsid w:val="00A22C36"/>
    <w:rsid w:val="00A25093"/>
    <w:rsid w:val="00A32B7F"/>
    <w:rsid w:val="00A369FD"/>
    <w:rsid w:val="00A42910"/>
    <w:rsid w:val="00A52E34"/>
    <w:rsid w:val="00A71559"/>
    <w:rsid w:val="00A815B6"/>
    <w:rsid w:val="00A9216C"/>
    <w:rsid w:val="00A941D7"/>
    <w:rsid w:val="00AA4F7E"/>
    <w:rsid w:val="00AB0A7A"/>
    <w:rsid w:val="00AB71BC"/>
    <w:rsid w:val="00AC0F28"/>
    <w:rsid w:val="00AC605A"/>
    <w:rsid w:val="00AE0FA4"/>
    <w:rsid w:val="00AE45C2"/>
    <w:rsid w:val="00AF623A"/>
    <w:rsid w:val="00B06F40"/>
    <w:rsid w:val="00B0777D"/>
    <w:rsid w:val="00B247B5"/>
    <w:rsid w:val="00B249A6"/>
    <w:rsid w:val="00B34013"/>
    <w:rsid w:val="00B5052F"/>
    <w:rsid w:val="00B509CC"/>
    <w:rsid w:val="00B5500E"/>
    <w:rsid w:val="00B5783B"/>
    <w:rsid w:val="00B70EC8"/>
    <w:rsid w:val="00B82243"/>
    <w:rsid w:val="00B83661"/>
    <w:rsid w:val="00B866EF"/>
    <w:rsid w:val="00B95660"/>
    <w:rsid w:val="00BA2582"/>
    <w:rsid w:val="00BA44F9"/>
    <w:rsid w:val="00BA736C"/>
    <w:rsid w:val="00BB6F0D"/>
    <w:rsid w:val="00BC1C94"/>
    <w:rsid w:val="00BC1DFF"/>
    <w:rsid w:val="00BC23DF"/>
    <w:rsid w:val="00BC588F"/>
    <w:rsid w:val="00BD7C69"/>
    <w:rsid w:val="00BF6C78"/>
    <w:rsid w:val="00BF755F"/>
    <w:rsid w:val="00C0192B"/>
    <w:rsid w:val="00C06F4B"/>
    <w:rsid w:val="00C23699"/>
    <w:rsid w:val="00C30644"/>
    <w:rsid w:val="00C30DD9"/>
    <w:rsid w:val="00C360D1"/>
    <w:rsid w:val="00C556C4"/>
    <w:rsid w:val="00C607E3"/>
    <w:rsid w:val="00C63084"/>
    <w:rsid w:val="00C6444D"/>
    <w:rsid w:val="00C64C77"/>
    <w:rsid w:val="00C65476"/>
    <w:rsid w:val="00C70307"/>
    <w:rsid w:val="00C718C4"/>
    <w:rsid w:val="00C718C8"/>
    <w:rsid w:val="00C72A61"/>
    <w:rsid w:val="00C76810"/>
    <w:rsid w:val="00CA0EA4"/>
    <w:rsid w:val="00CC476A"/>
    <w:rsid w:val="00CD4E61"/>
    <w:rsid w:val="00CE6600"/>
    <w:rsid w:val="00CF33B8"/>
    <w:rsid w:val="00CF505D"/>
    <w:rsid w:val="00D078FC"/>
    <w:rsid w:val="00D12129"/>
    <w:rsid w:val="00D3545D"/>
    <w:rsid w:val="00D3557C"/>
    <w:rsid w:val="00D375FD"/>
    <w:rsid w:val="00D42E27"/>
    <w:rsid w:val="00D52B92"/>
    <w:rsid w:val="00D936C3"/>
    <w:rsid w:val="00DA1920"/>
    <w:rsid w:val="00DA7A64"/>
    <w:rsid w:val="00DD3378"/>
    <w:rsid w:val="00DD485B"/>
    <w:rsid w:val="00DD7CC0"/>
    <w:rsid w:val="00DE1F15"/>
    <w:rsid w:val="00DE460B"/>
    <w:rsid w:val="00DE4F5D"/>
    <w:rsid w:val="00DE59C0"/>
    <w:rsid w:val="00DF4A7D"/>
    <w:rsid w:val="00DF77AC"/>
    <w:rsid w:val="00DF7D87"/>
    <w:rsid w:val="00E109D5"/>
    <w:rsid w:val="00E24DD5"/>
    <w:rsid w:val="00E31067"/>
    <w:rsid w:val="00E31B47"/>
    <w:rsid w:val="00E54D98"/>
    <w:rsid w:val="00E6108C"/>
    <w:rsid w:val="00E6269D"/>
    <w:rsid w:val="00E71DFF"/>
    <w:rsid w:val="00E85C34"/>
    <w:rsid w:val="00E86749"/>
    <w:rsid w:val="00E875BF"/>
    <w:rsid w:val="00E96D06"/>
    <w:rsid w:val="00EA24F1"/>
    <w:rsid w:val="00EA7244"/>
    <w:rsid w:val="00EB3022"/>
    <w:rsid w:val="00EE29D0"/>
    <w:rsid w:val="00EE5E24"/>
    <w:rsid w:val="00EE72F6"/>
    <w:rsid w:val="00EE78C4"/>
    <w:rsid w:val="00F04391"/>
    <w:rsid w:val="00F1141B"/>
    <w:rsid w:val="00F13C4E"/>
    <w:rsid w:val="00F14D57"/>
    <w:rsid w:val="00F1564B"/>
    <w:rsid w:val="00F15917"/>
    <w:rsid w:val="00F460AF"/>
    <w:rsid w:val="00F479E6"/>
    <w:rsid w:val="00F52BBB"/>
    <w:rsid w:val="00F536F4"/>
    <w:rsid w:val="00F62A30"/>
    <w:rsid w:val="00F755B7"/>
    <w:rsid w:val="00F75FA0"/>
    <w:rsid w:val="00F778B7"/>
    <w:rsid w:val="00F85AAC"/>
    <w:rsid w:val="00FA16F6"/>
    <w:rsid w:val="00FA4202"/>
    <w:rsid w:val="00FB4AF9"/>
    <w:rsid w:val="00FD535B"/>
    <w:rsid w:val="00FE5AA2"/>
    <w:rsid w:val="00FF3323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6F7B7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E27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D42E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 w:bidi="hi-IN"/>
    </w:rPr>
  </w:style>
  <w:style w:type="character" w:customStyle="1" w:styleId="TtuloChar">
    <w:name w:val="Título Char"/>
    <w:basedOn w:val="Fontepargpadro"/>
    <w:link w:val="Ttulo"/>
    <w:rsid w:val="00D42E27"/>
    <w:rPr>
      <w:rFonts w:ascii="Times New Roman" w:eastAsia="Times New Roman" w:hAnsi="Times New Roman" w:cs="Times New Roman"/>
      <w:b/>
      <w:sz w:val="28"/>
      <w:szCs w:val="20"/>
      <w:lang w:eastAsia="zh-CN" w:bidi="hi-IN"/>
    </w:rPr>
  </w:style>
  <w:style w:type="paragraph" w:customStyle="1" w:styleId="Normal1">
    <w:name w:val="Normal1"/>
    <w:basedOn w:val="Normal"/>
    <w:rsid w:val="00D42E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2E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2E27"/>
  </w:style>
  <w:style w:type="paragraph" w:styleId="Cabealho">
    <w:name w:val="header"/>
    <w:basedOn w:val="Normal"/>
    <w:link w:val="CabealhoChar"/>
    <w:uiPriority w:val="99"/>
    <w:unhideWhenUsed/>
    <w:rsid w:val="00D42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E27"/>
  </w:style>
  <w:style w:type="paragraph" w:styleId="Rodap">
    <w:name w:val="footer"/>
    <w:basedOn w:val="Normal"/>
    <w:link w:val="RodapChar"/>
    <w:uiPriority w:val="99"/>
    <w:unhideWhenUsed/>
    <w:rsid w:val="00D42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E27"/>
  </w:style>
  <w:style w:type="paragraph" w:styleId="Textodebalo">
    <w:name w:val="Balloon Text"/>
    <w:basedOn w:val="Normal"/>
    <w:link w:val="TextodebaloChar"/>
    <w:uiPriority w:val="99"/>
    <w:semiHidden/>
    <w:unhideWhenUsed/>
    <w:rsid w:val="00D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0A1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485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77544F"/>
    <w:rPr>
      <w:b/>
      <w:bCs/>
    </w:rPr>
  </w:style>
  <w:style w:type="character" w:customStyle="1" w:styleId="markedcontent">
    <w:name w:val="markedcontent"/>
    <w:basedOn w:val="Fontepargpadro"/>
    <w:rsid w:val="004061C7"/>
  </w:style>
  <w:style w:type="character" w:styleId="Refdecomentrio">
    <w:name w:val="annotation reference"/>
    <w:basedOn w:val="Fontepargpadro"/>
    <w:uiPriority w:val="99"/>
    <w:semiHidden/>
    <w:unhideWhenUsed/>
    <w:rsid w:val="00EE7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78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78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8C4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C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E27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D42E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 w:bidi="hi-IN"/>
    </w:rPr>
  </w:style>
  <w:style w:type="character" w:customStyle="1" w:styleId="TtuloChar">
    <w:name w:val="Título Char"/>
    <w:basedOn w:val="Fontepargpadro"/>
    <w:link w:val="Ttulo"/>
    <w:rsid w:val="00D42E27"/>
    <w:rPr>
      <w:rFonts w:ascii="Times New Roman" w:eastAsia="Times New Roman" w:hAnsi="Times New Roman" w:cs="Times New Roman"/>
      <w:b/>
      <w:sz w:val="28"/>
      <w:szCs w:val="20"/>
      <w:lang w:eastAsia="zh-CN" w:bidi="hi-IN"/>
    </w:rPr>
  </w:style>
  <w:style w:type="paragraph" w:customStyle="1" w:styleId="Normal1">
    <w:name w:val="Normal1"/>
    <w:basedOn w:val="Normal"/>
    <w:rsid w:val="00D42E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2E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2E27"/>
  </w:style>
  <w:style w:type="paragraph" w:styleId="Cabealho">
    <w:name w:val="header"/>
    <w:basedOn w:val="Normal"/>
    <w:link w:val="CabealhoChar"/>
    <w:uiPriority w:val="99"/>
    <w:unhideWhenUsed/>
    <w:rsid w:val="00D42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E27"/>
  </w:style>
  <w:style w:type="paragraph" w:styleId="Rodap">
    <w:name w:val="footer"/>
    <w:basedOn w:val="Normal"/>
    <w:link w:val="RodapChar"/>
    <w:uiPriority w:val="99"/>
    <w:unhideWhenUsed/>
    <w:rsid w:val="00D42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E27"/>
  </w:style>
  <w:style w:type="paragraph" w:styleId="Textodebalo">
    <w:name w:val="Balloon Text"/>
    <w:basedOn w:val="Normal"/>
    <w:link w:val="TextodebaloChar"/>
    <w:uiPriority w:val="99"/>
    <w:semiHidden/>
    <w:unhideWhenUsed/>
    <w:rsid w:val="00D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0A1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485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77544F"/>
    <w:rPr>
      <w:b/>
      <w:bCs/>
    </w:rPr>
  </w:style>
  <w:style w:type="character" w:customStyle="1" w:styleId="markedcontent">
    <w:name w:val="markedcontent"/>
    <w:basedOn w:val="Fontepargpadro"/>
    <w:rsid w:val="004061C7"/>
  </w:style>
  <w:style w:type="character" w:styleId="Refdecomentrio">
    <w:name w:val="annotation reference"/>
    <w:basedOn w:val="Fontepargpadro"/>
    <w:uiPriority w:val="99"/>
    <w:semiHidden/>
    <w:unhideWhenUsed/>
    <w:rsid w:val="00EE7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78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78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8C4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CE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4ED7-0683-40D7-8203-42D9B749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3072</Words>
  <Characters>16589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Regina Gasparin Ogliari</dc:creator>
  <cp:lastModifiedBy>Giovanna Stallivieri Fernandes</cp:lastModifiedBy>
  <cp:revision>15</cp:revision>
  <cp:lastPrinted>2024-05-03T16:40:00Z</cp:lastPrinted>
  <dcterms:created xsi:type="dcterms:W3CDTF">2025-05-12T18:34:00Z</dcterms:created>
  <dcterms:modified xsi:type="dcterms:W3CDTF">2025-06-11T16:54:00Z</dcterms:modified>
</cp:coreProperties>
</file>