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2A0CFC">
        <w:t>2</w:t>
      </w:r>
      <w:r w:rsidR="003329A8">
        <w:t>9</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3329A8">
        <w:rPr>
          <w:b/>
          <w:sz w:val="24"/>
          <w:szCs w:val="24"/>
        </w:rPr>
        <w:t>461</w:t>
      </w:r>
      <w:r w:rsidR="002A0CFC" w:rsidRPr="002A0CFC">
        <w:rPr>
          <w:b/>
          <w:sz w:val="24"/>
          <w:szCs w:val="24"/>
        </w:rPr>
        <w:t>.</w:t>
      </w:r>
      <w:r w:rsidR="00AC5A28">
        <w:rPr>
          <w:b/>
          <w:sz w:val="24"/>
          <w:szCs w:val="24"/>
        </w:rPr>
        <w:t>512</w:t>
      </w:r>
      <w:r w:rsidR="003329A8">
        <w:rPr>
          <w:b/>
          <w:sz w:val="24"/>
          <w:szCs w:val="24"/>
        </w:rPr>
        <w:t>-1</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3F4782">
            <w:pPr>
              <w:spacing w:before="93" w:line="275" w:lineRule="exact"/>
              <w:ind w:right="504"/>
              <w:jc w:val="both"/>
              <w:rPr>
                <w:b/>
                <w:sz w:val="24"/>
                <w:szCs w:val="24"/>
              </w:rPr>
            </w:pPr>
            <w:r>
              <w:rPr>
                <w:b/>
                <w:sz w:val="24"/>
                <w:szCs w:val="24"/>
                <w:highlight w:val="yellow"/>
              </w:rPr>
              <w:t>0</w:t>
            </w:r>
            <w:r w:rsidR="003F4782">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3F4782">
              <w:rPr>
                <w:b/>
                <w:sz w:val="24"/>
                <w:szCs w:val="24"/>
                <w:highlight w:val="yellow"/>
              </w:rPr>
              <w:t>20</w:t>
            </w:r>
            <w:r w:rsidR="00534A2E">
              <w:rPr>
                <w:b/>
                <w:sz w:val="24"/>
                <w:szCs w:val="24"/>
                <w:highlight w:val="yellow"/>
              </w:rPr>
              <w:t>/0</w:t>
            </w:r>
            <w:r w:rsidR="003F4782">
              <w:rPr>
                <w:b/>
                <w:sz w:val="24"/>
                <w:szCs w:val="24"/>
                <w:highlight w:val="yellow"/>
              </w:rPr>
              <w:t>2</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3F4782"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20/02/2019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2A0CFC" w:rsidRPr="002A0CFC">
        <w:rPr>
          <w:rFonts w:ascii="Arial" w:hAnsi="Arial" w:cs="Arial"/>
          <w:color w:val="000000"/>
        </w:rPr>
        <w:t xml:space="preserve">CONJUNTO HABITACIONAL </w:t>
      </w:r>
      <w:r w:rsidR="003329A8">
        <w:rPr>
          <w:rFonts w:ascii="Arial" w:hAnsi="Arial" w:cs="Arial"/>
          <w:color w:val="000000"/>
        </w:rPr>
        <w:t>CURIÚVA I – 3ª ETAPA – 3</w:t>
      </w:r>
      <w:r w:rsidR="002A0CFC" w:rsidRPr="002A0CFC">
        <w:rPr>
          <w:rFonts w:ascii="Arial" w:hAnsi="Arial" w:cs="Arial"/>
          <w:color w:val="000000"/>
        </w:rPr>
        <w:t>ª FASE</w:t>
      </w:r>
      <w:r w:rsidR="00C65A1B" w:rsidRPr="002A0CFC">
        <w:rPr>
          <w:rFonts w:ascii="Arial" w:hAnsi="Arial" w:cs="Arial"/>
        </w:rPr>
        <w:t>,</w:t>
      </w:r>
      <w:r w:rsidR="00B76A2F" w:rsidRPr="002A0CFC">
        <w:rPr>
          <w:rFonts w:ascii="Arial" w:hAnsi="Arial" w:cs="Arial"/>
        </w:rPr>
        <w:t xml:space="preserve"> Município de </w:t>
      </w:r>
      <w:r w:rsidR="003329A8">
        <w:rPr>
          <w:rFonts w:ascii="Arial" w:hAnsi="Arial" w:cs="Arial"/>
        </w:rPr>
        <w:t>Curiúva</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3329A8">
        <w:rPr>
          <w:rFonts w:ascii="Arial" w:hAnsi="Arial" w:cs="Arial"/>
        </w:rPr>
        <w:t>74</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1139EE">
        <w:rPr>
          <w:sz w:val="24"/>
          <w:szCs w:val="24"/>
        </w:rPr>
        <w:t>58</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3F4782">
        <w:t>C</w:t>
      </w:r>
      <w:r w:rsidR="00680AEF" w:rsidRPr="003F4782">
        <w:t>uritiba</w:t>
      </w:r>
      <w:r w:rsidR="00755504" w:rsidRPr="003F4782">
        <w:t xml:space="preserve">, </w:t>
      </w:r>
      <w:r w:rsidR="003329A8" w:rsidRPr="003F4782">
        <w:t>28</w:t>
      </w:r>
      <w:r w:rsidR="0056561A" w:rsidRPr="003F4782">
        <w:t xml:space="preserve"> de </w:t>
      </w:r>
      <w:r w:rsidR="003329A8" w:rsidRPr="003F4782">
        <w:t>novembro</w:t>
      </w:r>
      <w:r w:rsidR="00981F1D" w:rsidRPr="003F4782">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Pr="00F068A4">
                              <w:rPr>
                                <w:b/>
                                <w:sz w:val="24"/>
                              </w:rPr>
                              <w:t>Nº. 2</w:t>
                            </w:r>
                            <w:r>
                              <w:rPr>
                                <w:b/>
                                <w:sz w:val="24"/>
                              </w:rPr>
                              <w:t>9</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Pr="00F068A4">
                        <w:rPr>
                          <w:b/>
                          <w:sz w:val="24"/>
                        </w:rPr>
                        <w:t>Nº. 2</w:t>
                      </w:r>
                      <w:r>
                        <w:rPr>
                          <w:b/>
                          <w:sz w:val="24"/>
                        </w:rPr>
                        <w:t>9</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Pr="00F068A4">
                              <w:rPr>
                                <w:b/>
                                <w:sz w:val="24"/>
                              </w:rPr>
                              <w:t>2</w:t>
                            </w:r>
                            <w:r>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Pr="00F068A4">
                        <w:rPr>
                          <w:b/>
                          <w:sz w:val="24"/>
                        </w:rPr>
                        <w:t>2</w:t>
                      </w:r>
                      <w:r>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3329A8" w:rsidP="00180B90">
            <w:pPr>
              <w:pStyle w:val="Corpodetexto"/>
              <w:numPr>
                <w:ilvl w:val="0"/>
                <w:numId w:val="54"/>
              </w:numPr>
              <w:spacing w:before="82"/>
              <w:ind w:right="2"/>
              <w:jc w:val="both"/>
              <w:rPr>
                <w:sz w:val="20"/>
                <w:szCs w:val="20"/>
              </w:rPr>
            </w:pPr>
            <w:r>
              <w:rPr>
                <w:sz w:val="20"/>
                <w:szCs w:val="20"/>
              </w:rPr>
              <w:t>1650,00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3329A8" w:rsidP="003329A8">
            <w:pPr>
              <w:pStyle w:val="Corpodetexto"/>
              <w:numPr>
                <w:ilvl w:val="0"/>
                <w:numId w:val="52"/>
              </w:numPr>
              <w:spacing w:before="82"/>
              <w:ind w:right="2"/>
              <w:jc w:val="both"/>
              <w:rPr>
                <w:sz w:val="20"/>
                <w:szCs w:val="20"/>
              </w:rPr>
            </w:pPr>
            <w:r>
              <w:rPr>
                <w:sz w:val="20"/>
                <w:szCs w:val="20"/>
              </w:rPr>
              <w:t>1650,00</w:t>
            </w:r>
            <w:r w:rsidRPr="00F068A4">
              <w:rPr>
                <w:sz w:val="20"/>
                <w:szCs w:val="20"/>
              </w:rPr>
              <w:t xml:space="preserve"> 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 28</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 28</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180B90" w:rsidRPr="002A0CFC">
        <w:rPr>
          <w:rFonts w:ascii="Arial" w:hAnsi="Arial" w:cs="Arial"/>
        </w:rPr>
        <w:t xml:space="preserve">Empreendimento CONJUNTO HABITACIONAL </w:t>
      </w:r>
      <w:r w:rsidR="00180B90">
        <w:rPr>
          <w:rFonts w:ascii="Arial" w:hAnsi="Arial" w:cs="Arial"/>
        </w:rPr>
        <w:t>CURIÚVA I – 3ª ETAPA – 3</w:t>
      </w:r>
      <w:r w:rsidR="00180B90" w:rsidRPr="002A0CFC">
        <w:rPr>
          <w:rFonts w:ascii="Arial" w:hAnsi="Arial" w:cs="Arial"/>
        </w:rPr>
        <w:t xml:space="preserve">ª FASE, Município de </w:t>
      </w:r>
      <w:r w:rsidR="00180B90">
        <w:rPr>
          <w:rFonts w:ascii="Arial" w:hAnsi="Arial" w:cs="Arial"/>
        </w:rPr>
        <w:t>Curiúva</w:t>
      </w:r>
      <w:r w:rsidR="00180B90" w:rsidRPr="002A0CFC">
        <w:rPr>
          <w:rFonts w:ascii="Arial" w:hAnsi="Arial" w:cs="Arial"/>
        </w:rPr>
        <w:t xml:space="preserve">/PR, compreendendo habitação e infraestrutura, que resultem </w:t>
      </w:r>
      <w:r w:rsidR="00180B90">
        <w:rPr>
          <w:rFonts w:ascii="Arial" w:hAnsi="Arial" w:cs="Arial"/>
        </w:rPr>
        <w:t>74</w:t>
      </w:r>
      <w:r w:rsidR="00180B90" w:rsidRPr="002A0CFC">
        <w:rPr>
          <w:rFonts w:ascii="Arial" w:hAnsi="Arial" w:cs="Arial"/>
        </w:rPr>
        <w:t xml:space="preserve"> unidades habitacionais</w:t>
      </w:r>
      <w:r w:rsidR="00180B90"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2</w:t>
                            </w:r>
                            <w:r w:rsidR="006340D0">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2</w:t>
                      </w:r>
                      <w:r w:rsidR="006340D0">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6340D0">
        <w:rPr>
          <w:b/>
          <w:color w:val="000000"/>
          <w:sz w:val="24"/>
          <w:szCs w:val="24"/>
        </w:rPr>
        <w:t>29</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6340D0" w:rsidRPr="002A0CFC">
        <w:rPr>
          <w:color w:val="000000"/>
        </w:rPr>
        <w:t xml:space="preserve">Empreendimento CONJUNTO HABITACIONAL </w:t>
      </w:r>
      <w:r w:rsidR="006340D0">
        <w:rPr>
          <w:color w:val="000000"/>
        </w:rPr>
        <w:t>CURIÚVA I – 3ª ETAPA – 3</w:t>
      </w:r>
      <w:r w:rsidR="006340D0" w:rsidRPr="002A0CFC">
        <w:rPr>
          <w:color w:val="000000"/>
        </w:rPr>
        <w:t>ª FASE</w:t>
      </w:r>
      <w:r w:rsidR="006340D0" w:rsidRPr="002A0CFC">
        <w:t xml:space="preserve">, Município de </w:t>
      </w:r>
      <w:r w:rsidR="006340D0">
        <w:t>Curiúva</w:t>
      </w:r>
      <w:r w:rsidR="006340D0" w:rsidRPr="002A0CFC">
        <w:t xml:space="preserve">/PR, compreendendo habitação e infraestrutura, que resultem </w:t>
      </w:r>
      <w:r w:rsidR="006340D0">
        <w:t>74</w:t>
      </w:r>
      <w:r w:rsidR="006340D0" w:rsidRPr="002A0CFC">
        <w:t xml:space="preserve"> unidades habitacionais</w:t>
      </w:r>
      <w:r w:rsidR="006340D0" w:rsidRPr="008130FF">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Nº. 2</w:t>
                            </w:r>
                            <w:r w:rsidR="006340D0">
                              <w:rPr>
                                <w:b/>
                                <w:sz w:val="24"/>
                              </w:rPr>
                              <w:t>9</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Nº. 2</w:t>
                      </w:r>
                      <w:r w:rsidR="006340D0">
                        <w:rPr>
                          <w:b/>
                          <w:sz w:val="24"/>
                        </w:rPr>
                        <w:t>9</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w:t>
      </w:r>
      <w:r w:rsidR="006340D0">
        <w:rPr>
          <w:b/>
          <w:color w:val="000000"/>
          <w:sz w:val="24"/>
          <w:szCs w:val="24"/>
        </w:rPr>
        <w:t>9</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Pr>
                                <w:b/>
                                <w:sz w:val="24"/>
                              </w:rPr>
                              <w:t>2</w:t>
                            </w:r>
                            <w:r w:rsidR="006340D0">
                              <w:rPr>
                                <w:b/>
                                <w:sz w:val="24"/>
                              </w:rPr>
                              <w:t>9</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Pr>
                          <w:b/>
                          <w:sz w:val="24"/>
                        </w:rPr>
                        <w:t>2</w:t>
                      </w:r>
                      <w:r w:rsidR="006340D0">
                        <w:rPr>
                          <w:b/>
                          <w:sz w:val="24"/>
                        </w:rPr>
                        <w:t>9</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w:t>
      </w:r>
      <w:r w:rsidR="006340D0">
        <w:rPr>
          <w:b/>
          <w:color w:val="000000"/>
          <w:sz w:val="24"/>
          <w:szCs w:val="24"/>
        </w:rPr>
        <w:t>9</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F068A4">
        <w:rPr>
          <w:rFonts w:ascii="Arial" w:hAnsi="Arial" w:cs="Arial"/>
          <w:b/>
          <w:color w:val="auto"/>
          <w:szCs w:val="24"/>
        </w:rPr>
        <w:t>2</w:t>
      </w:r>
      <w:r w:rsidR="006340D0">
        <w:rPr>
          <w:rFonts w:ascii="Arial" w:hAnsi="Arial" w:cs="Arial"/>
          <w:b/>
          <w:color w:val="auto"/>
          <w:szCs w:val="24"/>
        </w:rPr>
        <w:t>9</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2</w:t>
                            </w:r>
                            <w:r w:rsidR="006340D0">
                              <w:rPr>
                                <w:b/>
                                <w:sz w:val="24"/>
                              </w:rPr>
                              <w:t>9</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2</w:t>
                      </w:r>
                      <w:r w:rsidR="006340D0">
                        <w:rPr>
                          <w:b/>
                          <w:sz w:val="24"/>
                        </w:rPr>
                        <w:t>9</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6340D0">
        <w:rPr>
          <w:b/>
          <w:color w:val="000000"/>
          <w:sz w:val="24"/>
          <w:szCs w:val="24"/>
        </w:rPr>
        <w:t>29</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F068A4">
        <w:rPr>
          <w:b/>
          <w:color w:val="000000"/>
        </w:rPr>
        <w:t>2</w:t>
      </w:r>
      <w:r w:rsidR="006340D0">
        <w:rPr>
          <w:b/>
          <w:color w:val="000000"/>
        </w:rPr>
        <w:t>9</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F068A4">
        <w:rPr>
          <w:rFonts w:cs="Arial"/>
          <w:b/>
          <w:szCs w:val="24"/>
        </w:rPr>
        <w:t>2</w:t>
      </w:r>
      <w:r w:rsidR="006340D0">
        <w:rPr>
          <w:rFonts w:cs="Arial"/>
          <w:b/>
          <w:szCs w:val="24"/>
        </w:rPr>
        <w:t>9</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F068A4">
        <w:rPr>
          <w:b/>
          <w:color w:val="000000"/>
          <w:sz w:val="24"/>
          <w:szCs w:val="24"/>
        </w:rPr>
        <w:t>2</w:t>
      </w:r>
      <w:r w:rsidR="006340D0">
        <w:rPr>
          <w:b/>
          <w:color w:val="000000"/>
          <w:sz w:val="24"/>
          <w:szCs w:val="24"/>
        </w:rPr>
        <w:t>9</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F068A4">
        <w:rPr>
          <w:b/>
        </w:rPr>
        <w:t>2</w:t>
      </w:r>
      <w:r w:rsidR="006340D0">
        <w:rPr>
          <w:b/>
        </w:rPr>
        <w:t>9</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F068A4">
        <w:rPr>
          <w:b/>
        </w:rPr>
        <w:t>2</w:t>
      </w:r>
      <w:r w:rsidR="006340D0">
        <w:rPr>
          <w:b/>
        </w:rPr>
        <w:t>9</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Pr="00F068A4">
                        <w:rPr>
                          <w:b/>
                          <w:sz w:val="24"/>
                        </w:rPr>
                        <w:t>2</w:t>
                      </w:r>
                      <w:r w:rsidR="006340D0">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F068A4">
        <w:rPr>
          <w:b/>
          <w:color w:val="000000"/>
          <w:sz w:val="24"/>
          <w:szCs w:val="24"/>
        </w:rPr>
        <w:t>2</w:t>
      </w:r>
      <w:r w:rsidR="006340D0">
        <w:rPr>
          <w:b/>
          <w:color w:val="000000"/>
          <w:sz w:val="24"/>
          <w:szCs w:val="24"/>
        </w:rPr>
        <w:t>9</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95692F"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29/2018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95692F">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95692F">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180B90" w:rsidP="00D828D0">
    <w:pPr>
      <w:pStyle w:val="Cabealho"/>
      <w:jc w:val="right"/>
      <w:rPr>
        <w:spacing w:val="20"/>
      </w:rPr>
    </w:pPr>
    <w:r w:rsidRPr="002A0CFC">
      <w:rPr>
        <w:spacing w:val="20"/>
        <w:sz w:val="14"/>
      </w:rPr>
      <w:t>LICITAÇÃO MDF Nº 2</w:t>
    </w:r>
    <w:r>
      <w:rPr>
        <w:spacing w:val="20"/>
        <w:sz w:val="14"/>
      </w:rPr>
      <w:t>9</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95692F">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95692F">
      <w:rPr>
        <w:noProof/>
        <w:snapToGrid w:val="0"/>
        <w:spacing w:val="20"/>
        <w:sz w:val="14"/>
      </w:rPr>
      <w:t>57</w:t>
    </w:r>
    <w:r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9EE"/>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3F4782"/>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5692F"/>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5A28"/>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0E3E-6920-494F-8B1A-1DC13F35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57</Pages>
  <Words>17390</Words>
  <Characters>93911</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43</cp:revision>
  <cp:lastPrinted>2018-11-28T18:42:00Z</cp:lastPrinted>
  <dcterms:created xsi:type="dcterms:W3CDTF">2018-11-20T11:15:00Z</dcterms:created>
  <dcterms:modified xsi:type="dcterms:W3CDTF">2018-11-28T18:46:00Z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