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C9427B">
        <w:t>3</w:t>
      </w:r>
      <w:r w:rsidR="00FE0E74">
        <w:t>7</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3329A8">
        <w:rPr>
          <w:b/>
          <w:sz w:val="24"/>
          <w:szCs w:val="24"/>
        </w:rPr>
        <w:t>461</w:t>
      </w:r>
      <w:r w:rsidR="002A0CFC" w:rsidRPr="002A0CFC">
        <w:rPr>
          <w:b/>
          <w:sz w:val="24"/>
          <w:szCs w:val="24"/>
        </w:rPr>
        <w:t>.</w:t>
      </w:r>
      <w:r w:rsidR="00FE0E74">
        <w:rPr>
          <w:b/>
          <w:sz w:val="24"/>
          <w:szCs w:val="24"/>
        </w:rPr>
        <w:t>486</w:t>
      </w:r>
      <w:r w:rsidR="003329A8">
        <w:rPr>
          <w:b/>
          <w:sz w:val="24"/>
          <w:szCs w:val="24"/>
        </w:rPr>
        <w:t>-</w:t>
      </w:r>
      <w:r w:rsidR="00FE0E74">
        <w:rPr>
          <w:b/>
          <w:sz w:val="24"/>
          <w:szCs w:val="24"/>
        </w:rPr>
        <w:t>9</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5504" w:rsidP="00787630">
            <w:pPr>
              <w:spacing w:before="93" w:line="275" w:lineRule="exact"/>
              <w:ind w:right="504"/>
              <w:jc w:val="both"/>
              <w:rPr>
                <w:b/>
                <w:sz w:val="24"/>
                <w:szCs w:val="24"/>
              </w:rPr>
            </w:pPr>
            <w:r>
              <w:rPr>
                <w:b/>
                <w:sz w:val="24"/>
                <w:szCs w:val="24"/>
                <w:highlight w:val="yellow"/>
              </w:rPr>
              <w:t>0</w:t>
            </w:r>
            <w:r w:rsidR="00787630">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787630">
              <w:rPr>
                <w:b/>
                <w:sz w:val="24"/>
                <w:szCs w:val="24"/>
                <w:highlight w:val="yellow"/>
              </w:rPr>
              <w:t>11</w:t>
            </w:r>
            <w:r w:rsidR="00534A2E">
              <w:rPr>
                <w:b/>
                <w:sz w:val="24"/>
                <w:szCs w:val="24"/>
                <w:highlight w:val="yellow"/>
              </w:rPr>
              <w:t>/</w:t>
            </w:r>
            <w:r w:rsidR="00787630">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787630"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11/03/2019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w:t>
      </w:r>
      <w:r w:rsidR="00FE0E74">
        <w:rPr>
          <w:rFonts w:ascii="Arial" w:hAnsi="Arial" w:cs="Arial"/>
          <w:color w:val="000000"/>
        </w:rPr>
        <w:t>s</w:t>
      </w:r>
      <w:r w:rsidR="00734E48" w:rsidRPr="002A0CFC">
        <w:rPr>
          <w:rFonts w:ascii="Arial" w:hAnsi="Arial" w:cs="Arial"/>
          <w:color w:val="000000"/>
        </w:rPr>
        <w:t xml:space="preserve"> Empreendimento</w:t>
      </w:r>
      <w:r w:rsidR="00FE0E74">
        <w:rPr>
          <w:rFonts w:ascii="Arial" w:hAnsi="Arial" w:cs="Arial"/>
          <w:color w:val="000000"/>
        </w:rPr>
        <w:t>s</w:t>
      </w:r>
      <w:r w:rsidR="00734E48" w:rsidRPr="002A0CFC">
        <w:rPr>
          <w:rFonts w:ascii="Arial" w:hAnsi="Arial" w:cs="Arial"/>
          <w:color w:val="000000"/>
        </w:rPr>
        <w:t xml:space="preserve"> </w:t>
      </w:r>
      <w:proofErr w:type="gramStart"/>
      <w:r w:rsidR="00C9427B">
        <w:rPr>
          <w:rFonts w:ascii="Arial" w:hAnsi="Arial" w:cs="Arial"/>
          <w:color w:val="000000"/>
        </w:rPr>
        <w:t>Habitaciona</w:t>
      </w:r>
      <w:r w:rsidR="00FE0E74">
        <w:rPr>
          <w:rFonts w:ascii="Arial" w:hAnsi="Arial" w:cs="Arial"/>
          <w:color w:val="000000"/>
        </w:rPr>
        <w:t>is RESIDENCIAL</w:t>
      </w:r>
      <w:proofErr w:type="gramEnd"/>
      <w:r w:rsidR="00FE0E74">
        <w:rPr>
          <w:rFonts w:ascii="Arial" w:hAnsi="Arial" w:cs="Arial"/>
          <w:color w:val="000000"/>
        </w:rPr>
        <w:t xml:space="preserve"> COHAPAR IPORÃ I – 9ª ETAPA, com 16 unidades habitacionais; RESIDENCIAL COHAPAR IPORÃ II – 10ª ETAPA/1ª FASE, com 29 unidades habitacionais; RESIDENCIAL COHAPAR IPORÃ II – 10ª ETAPA/2ª FASE, com 26 unidades habitacionais</w:t>
      </w:r>
      <w:r w:rsidR="00C65A1B" w:rsidRPr="002A0CFC">
        <w:rPr>
          <w:rFonts w:ascii="Arial" w:hAnsi="Arial" w:cs="Arial"/>
        </w:rPr>
        <w:t>,</w:t>
      </w:r>
      <w:r w:rsidR="00B76A2F" w:rsidRPr="002A0CFC">
        <w:rPr>
          <w:rFonts w:ascii="Arial" w:hAnsi="Arial" w:cs="Arial"/>
        </w:rPr>
        <w:t xml:space="preserve"> Município de </w:t>
      </w:r>
      <w:r w:rsidR="00FE0E74">
        <w:rPr>
          <w:rFonts w:ascii="Arial" w:hAnsi="Arial" w:cs="Arial"/>
        </w:rPr>
        <w:t>Iporã</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3329A8">
        <w:rPr>
          <w:rFonts w:ascii="Arial" w:hAnsi="Arial" w:cs="Arial"/>
        </w:rPr>
        <w:t>7</w:t>
      </w:r>
      <w:r w:rsidR="00C9427B">
        <w:rPr>
          <w:rFonts w:ascii="Arial" w:hAnsi="Arial" w:cs="Arial"/>
        </w:rPr>
        <w:t>1</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7644A8">
        <w:rPr>
          <w:sz w:val="24"/>
          <w:szCs w:val="24"/>
        </w:rPr>
        <w:t>59</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 xml:space="preserve">io </w:t>
      </w:r>
      <w:r w:rsidR="00263DB9" w:rsidRPr="008F76B2">
        <w:rPr>
          <w:sz w:val="24"/>
          <w:szCs w:val="24"/>
        </w:rPr>
        <w:lastRenderedPageBreak/>
        <w:t>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w:t>
      </w:r>
      <w:r w:rsidR="00AB699C" w:rsidRPr="00D931E5">
        <w:rPr>
          <w:sz w:val="24"/>
          <w:szCs w:val="24"/>
        </w:rPr>
        <w:lastRenderedPageBreak/>
        <w:t>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lastRenderedPageBreak/>
        <w:t>A participação na licitação implica na aceitação integral e irretratável pelas Licitantes, dos termos, cláusulas, condições e anexos do Edital, que passarão a 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lastRenderedPageBreak/>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lastRenderedPageBreak/>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 xml:space="preserve">será sumária e </w:t>
      </w:r>
      <w:r w:rsidRPr="00D931E5">
        <w:rPr>
          <w:b/>
          <w:sz w:val="24"/>
          <w:szCs w:val="24"/>
        </w:rPr>
        <w:lastRenderedPageBreak/>
        <w:t>automaticamente impedida de participar do certame</w:t>
      </w:r>
      <w:r w:rsidRPr="00D931E5">
        <w:rPr>
          <w:sz w:val="24"/>
          <w:szCs w:val="24"/>
        </w:rPr>
        <w:t>, independentemente da 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lastRenderedPageBreak/>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lastRenderedPageBreak/>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w:t>
      </w:r>
      <w:r w:rsidRPr="00D931E5">
        <w:rPr>
          <w:sz w:val="24"/>
          <w:szCs w:val="24"/>
        </w:rPr>
        <w:lastRenderedPageBreak/>
        <w:t xml:space="preserve">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w:t>
      </w:r>
      <w:r w:rsidRPr="00F3163C">
        <w:lastRenderedPageBreak/>
        <w:t xml:space="preserve">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 xml:space="preserve">ncontrem-se acima do orçamento estimado para a contratação de que trata </w:t>
      </w:r>
      <w:r w:rsidR="00F3163C" w:rsidRPr="00F3163C">
        <w:lastRenderedPageBreak/>
        <w:t>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 xml:space="preserve">este Edital, que serão novamente verificados para atestar a </w:t>
      </w:r>
      <w:r w:rsidRPr="00AC39E3">
        <w:lastRenderedPageBreak/>
        <w:t>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Se a proposta de preço não for aceitável, a Comissão de Licitação a 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w:t>
      </w:r>
      <w:r w:rsidR="00BD1B5E" w:rsidRPr="00AC39E3">
        <w:lastRenderedPageBreak/>
        <w:t xml:space="preserve">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lastRenderedPageBreak/>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A intimação do resultado final do julgamento das propostas e da habilitação 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lastRenderedPageBreak/>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w:t>
      </w:r>
      <w:r w:rsidRPr="00A74230">
        <w:lastRenderedPageBreak/>
        <w:t>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lastRenderedPageBreak/>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 xml:space="preserve">dias úteis para complementar a garantia contratual, mantendo-a em 5% (cinco por cento) do valor do contrato, sob </w:t>
      </w:r>
      <w:r w:rsidRPr="00B2525C">
        <w:lastRenderedPageBreak/>
        <w:t>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lastRenderedPageBreak/>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lastRenderedPageBreak/>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 xml:space="preserve">Certidão Conjunta Negativa de Débitos Relativos a Tributos Federais e à Dívida Ativa da União, abrangendo, inclusive, as contribuições sociais previstas nas alíneas ‘a’ e ‘d’ </w:t>
      </w:r>
      <w:r w:rsidRPr="00D931E5">
        <w:lastRenderedPageBreak/>
        <w:t>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lastRenderedPageBreak/>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w:t>
      </w:r>
      <w:r w:rsidRPr="005B34FB">
        <w:rPr>
          <w:sz w:val="24"/>
          <w:szCs w:val="24"/>
        </w:rPr>
        <w:lastRenderedPageBreak/>
        <w:t>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lastRenderedPageBreak/>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w:t>
      </w:r>
      <w:r w:rsidRPr="00863BC3">
        <w:rPr>
          <w:sz w:val="24"/>
          <w:szCs w:val="24"/>
        </w:rPr>
        <w:lastRenderedPageBreak/>
        <w:t xml:space="preserve">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w:t>
      </w:r>
      <w:r w:rsidRPr="00554130">
        <w:lastRenderedPageBreak/>
        <w:t>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787630">
        <w:t>C</w:t>
      </w:r>
      <w:r w:rsidR="00680AEF" w:rsidRPr="00787630">
        <w:t>uritiba</w:t>
      </w:r>
      <w:r w:rsidR="00755504" w:rsidRPr="00787630">
        <w:t xml:space="preserve">, </w:t>
      </w:r>
      <w:r w:rsidR="003329A8" w:rsidRPr="00787630">
        <w:t>28</w:t>
      </w:r>
      <w:r w:rsidR="0056561A" w:rsidRPr="00787630">
        <w:t xml:space="preserve"> de </w:t>
      </w:r>
      <w:r w:rsidR="003329A8" w:rsidRPr="00787630">
        <w:t>novembro</w:t>
      </w:r>
      <w:r w:rsidR="00981F1D" w:rsidRPr="00787630">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FE0E74">
                              <w:rPr>
                                <w:b/>
                                <w:sz w:val="24"/>
                              </w:rPr>
                              <w:t>7</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FE0E74">
                        <w:rPr>
                          <w:b/>
                          <w:sz w:val="24"/>
                        </w:rPr>
                        <w:t>7</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FE0E74">
                              <w:rPr>
                                <w:b/>
                                <w:sz w:val="24"/>
                              </w:rPr>
                              <w:t>7</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FE0E74">
                        <w:rPr>
                          <w:b/>
                          <w:sz w:val="24"/>
                        </w:rPr>
                        <w:t>7</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9427B" w:rsidP="00180B90">
            <w:pPr>
              <w:pStyle w:val="Corpodetexto"/>
              <w:numPr>
                <w:ilvl w:val="0"/>
                <w:numId w:val="54"/>
              </w:numPr>
              <w:spacing w:before="82"/>
              <w:ind w:right="2"/>
              <w:jc w:val="both"/>
              <w:rPr>
                <w:sz w:val="20"/>
                <w:szCs w:val="20"/>
              </w:rPr>
            </w:pPr>
            <w:r>
              <w:rPr>
                <w:sz w:val="20"/>
                <w:szCs w:val="20"/>
              </w:rPr>
              <w:t>1</w:t>
            </w:r>
            <w:r w:rsidR="003329A8">
              <w:rPr>
                <w:sz w:val="20"/>
                <w:szCs w:val="20"/>
              </w:rPr>
              <w:t>5</w:t>
            </w:r>
            <w:r w:rsidR="00FE0E74">
              <w:rPr>
                <w:sz w:val="20"/>
                <w:szCs w:val="20"/>
              </w:rPr>
              <w:t>6</w:t>
            </w:r>
            <w:r w:rsidR="003329A8">
              <w:rPr>
                <w:sz w:val="20"/>
                <w:szCs w:val="20"/>
              </w:rPr>
              <w:t>0,00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E0E74" w:rsidP="003329A8">
            <w:pPr>
              <w:pStyle w:val="Corpodetexto"/>
              <w:numPr>
                <w:ilvl w:val="0"/>
                <w:numId w:val="52"/>
              </w:numPr>
              <w:spacing w:before="82"/>
              <w:ind w:right="2"/>
              <w:jc w:val="both"/>
              <w:rPr>
                <w:sz w:val="20"/>
                <w:szCs w:val="20"/>
              </w:rPr>
            </w:pPr>
            <w:r>
              <w:rPr>
                <w:sz w:val="20"/>
                <w:szCs w:val="20"/>
              </w:rPr>
              <w:t>156</w:t>
            </w:r>
            <w:r w:rsidR="00C9427B">
              <w:rPr>
                <w:sz w:val="20"/>
                <w:szCs w:val="20"/>
              </w:rPr>
              <w:t>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FE0E74" w:rsidRPr="002A0CFC">
        <w:rPr>
          <w:rFonts w:ascii="Arial" w:hAnsi="Arial" w:cs="Arial"/>
        </w:rPr>
        <w:t>do</w:t>
      </w:r>
      <w:r w:rsidR="00FE0E74">
        <w:rPr>
          <w:rFonts w:ascii="Arial" w:hAnsi="Arial" w:cs="Arial"/>
        </w:rPr>
        <w:t>s</w:t>
      </w:r>
      <w:r w:rsidR="00FE0E74" w:rsidRPr="002A0CFC">
        <w:rPr>
          <w:rFonts w:ascii="Arial" w:hAnsi="Arial" w:cs="Arial"/>
        </w:rPr>
        <w:t xml:space="preserve"> Empreendimento</w:t>
      </w:r>
      <w:r w:rsidR="00FE0E74">
        <w:rPr>
          <w:rFonts w:ascii="Arial" w:hAnsi="Arial" w:cs="Arial"/>
        </w:rPr>
        <w:t>s</w:t>
      </w:r>
      <w:r w:rsidR="00FE0E74" w:rsidRPr="002A0CFC">
        <w:rPr>
          <w:rFonts w:ascii="Arial" w:hAnsi="Arial" w:cs="Arial"/>
        </w:rPr>
        <w:t xml:space="preserve"> </w:t>
      </w:r>
      <w:proofErr w:type="gramStart"/>
      <w:r w:rsidR="00FE0E74">
        <w:rPr>
          <w:rFonts w:ascii="Arial" w:hAnsi="Arial" w:cs="Arial"/>
        </w:rPr>
        <w:t>Habitacionais RESIDENCIAL</w:t>
      </w:r>
      <w:proofErr w:type="gramEnd"/>
      <w:r w:rsidR="00FE0E74">
        <w:rPr>
          <w:rFonts w:ascii="Arial" w:hAnsi="Arial" w:cs="Arial"/>
        </w:rPr>
        <w:t xml:space="preserve"> COHAPAR IPORÃ I – 9ª ETAPA, com 16 unidades habitacionais; RESIDENCIAL COHAPAR IPORÃ II – 10ª ETAPA/1ª FASE, com 29 unidades habitacionais; RESIDENCIAL COHAPAR IPORÃ II – 10ª ETAPA/2ª FASE, com 26 unidades habitacionais</w:t>
      </w:r>
      <w:r w:rsidR="00FE0E74" w:rsidRPr="002A0CFC">
        <w:rPr>
          <w:rFonts w:ascii="Arial" w:hAnsi="Arial" w:cs="Arial"/>
        </w:rPr>
        <w:t xml:space="preserve">, Município de </w:t>
      </w:r>
      <w:r w:rsidR="00FE0E74">
        <w:rPr>
          <w:rFonts w:ascii="Arial" w:hAnsi="Arial" w:cs="Arial"/>
        </w:rPr>
        <w:t>Iporã</w:t>
      </w:r>
      <w:r w:rsidR="00FE0E74" w:rsidRPr="002A0CFC">
        <w:rPr>
          <w:rFonts w:ascii="Arial" w:hAnsi="Arial" w:cs="Arial"/>
        </w:rPr>
        <w:t xml:space="preserve">/PR, compreendendo habitação e infraestrutura, que resultem </w:t>
      </w:r>
      <w:r w:rsidR="00FE0E74">
        <w:rPr>
          <w:rFonts w:ascii="Arial" w:hAnsi="Arial" w:cs="Arial"/>
        </w:rPr>
        <w:t>71</w:t>
      </w:r>
      <w:r w:rsidR="00FE0E74"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lastRenderedPageBreak/>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 xml:space="preserve">O índice de correção a ser aplicado será a variação do INCC (Índice Nacional da Construção Civil), pelo critério mês cheio, sendo composto pela variação acumulada dos 12 (doze) meses posteriores ao mês da apresentação da </w:t>
      </w:r>
      <w:r w:rsidRPr="0037079B">
        <w:lastRenderedPageBreak/>
        <w:t>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w:t>
      </w:r>
      <w:r w:rsidRPr="0037079B">
        <w:rPr>
          <w:b w:val="0"/>
          <w:bCs w:val="0"/>
        </w:rPr>
        <w:lastRenderedPageBreak/>
        <w:t xml:space="preserve">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w:t>
      </w:r>
      <w:r w:rsidRPr="0037079B">
        <w:rPr>
          <w:rFonts w:ascii="Arial" w:hAnsi="Arial" w:cs="Arial"/>
          <w:color w:val="auto"/>
          <w:szCs w:val="24"/>
        </w:rPr>
        <w:lastRenderedPageBreak/>
        <w:t xml:space="preserve">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FE0E74">
                              <w:rPr>
                                <w:b/>
                                <w:sz w:val="24"/>
                              </w:rPr>
                              <w:t>7</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FE0E74">
                        <w:rPr>
                          <w:b/>
                          <w:sz w:val="24"/>
                        </w:rPr>
                        <w:t>7</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FE0E74">
        <w:rPr>
          <w:b/>
          <w:color w:val="000000"/>
          <w:sz w:val="24"/>
          <w:szCs w:val="24"/>
        </w:rPr>
        <w:t>7</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FE0E74" w:rsidRPr="002A0CFC">
        <w:rPr>
          <w:color w:val="000000"/>
        </w:rPr>
        <w:t>do</w:t>
      </w:r>
      <w:r w:rsidR="00FE0E74">
        <w:rPr>
          <w:color w:val="000000"/>
        </w:rPr>
        <w:t>s</w:t>
      </w:r>
      <w:r w:rsidR="00FE0E74" w:rsidRPr="002A0CFC">
        <w:rPr>
          <w:color w:val="000000"/>
        </w:rPr>
        <w:t xml:space="preserve"> Empreendimento</w:t>
      </w:r>
      <w:r w:rsidR="00FE0E74">
        <w:rPr>
          <w:color w:val="000000"/>
        </w:rPr>
        <w:t>s</w:t>
      </w:r>
      <w:r w:rsidR="00FE0E74" w:rsidRPr="002A0CFC">
        <w:rPr>
          <w:color w:val="000000"/>
        </w:rPr>
        <w:t xml:space="preserve"> </w:t>
      </w:r>
      <w:proofErr w:type="gramStart"/>
      <w:r w:rsidR="00FE0E74">
        <w:rPr>
          <w:color w:val="000000"/>
        </w:rPr>
        <w:t>Habitacionais RESIDENCIAL</w:t>
      </w:r>
      <w:proofErr w:type="gramEnd"/>
      <w:r w:rsidR="00FE0E74">
        <w:rPr>
          <w:color w:val="000000"/>
        </w:rPr>
        <w:t xml:space="preserve"> COHAPAR IPORÃ I – 9ª ETAPA, com 16 unidades habitacionais; RESIDENCIAL COHAPAR IPORÃ II – 10ª ETAPA/1ª FASE, com 29 unidades habitacionais; RESIDENCIAL COHAPAR IPORÃ II – 10ª ETAPA/2ª FASE, com 26 unidades habitacionais</w:t>
      </w:r>
      <w:r w:rsidR="00FE0E74" w:rsidRPr="002A0CFC">
        <w:t xml:space="preserve">, Município de </w:t>
      </w:r>
      <w:r w:rsidR="00FE0E74">
        <w:t>Iporã</w:t>
      </w:r>
      <w:r w:rsidR="00FE0E74" w:rsidRPr="002A0CFC">
        <w:t xml:space="preserve">/PR, compreendendo habitação e infraestrutura, que resultem </w:t>
      </w:r>
      <w:r w:rsidR="00FE0E74">
        <w:t>71</w:t>
      </w:r>
      <w:r w:rsidR="00FE0E74" w:rsidRPr="002A0CFC">
        <w:t xml:space="preserve"> unidades habitacionais</w:t>
      </w:r>
      <w:r w:rsidR="00C9427B" w:rsidRPr="002A0CFC">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w:t>
      </w:r>
      <w:r w:rsidR="00087D76" w:rsidRPr="00661C51">
        <w:rPr>
          <w:color w:val="000000"/>
          <w:sz w:val="24"/>
          <w:szCs w:val="24"/>
        </w:rPr>
        <w:lastRenderedPageBreak/>
        <w:t xml:space="preserve">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FE0E74">
                              <w:rPr>
                                <w:b/>
                                <w:sz w:val="24"/>
                              </w:rPr>
                              <w:t>7</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FE0E74">
                        <w:rPr>
                          <w:b/>
                          <w:sz w:val="24"/>
                        </w:rPr>
                        <w:t>7</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FE0E74">
        <w:rPr>
          <w:b/>
          <w:color w:val="000000"/>
          <w:sz w:val="24"/>
          <w:szCs w:val="24"/>
        </w:rPr>
        <w:t>7</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w:t>
                            </w:r>
                            <w:r w:rsidR="00FE0E74">
                              <w:rPr>
                                <w:b/>
                                <w:sz w:val="24"/>
                              </w:rPr>
                              <w:t>7</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636379">
                        <w:rPr>
                          <w:b/>
                          <w:sz w:val="24"/>
                        </w:rPr>
                        <w:t>3</w:t>
                      </w:r>
                      <w:r w:rsidR="00FE0E74">
                        <w:rPr>
                          <w:b/>
                          <w:sz w:val="24"/>
                        </w:rPr>
                        <w:t>7</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FE0E74">
        <w:rPr>
          <w:b/>
          <w:color w:val="000000"/>
          <w:sz w:val="24"/>
          <w:szCs w:val="24"/>
        </w:rPr>
        <w:t>7</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C9427B">
        <w:rPr>
          <w:rFonts w:ascii="Arial" w:hAnsi="Arial" w:cs="Arial"/>
          <w:b/>
          <w:color w:val="auto"/>
          <w:szCs w:val="24"/>
        </w:rPr>
        <w:t>3</w:t>
      </w:r>
      <w:r w:rsidR="00FE0E74">
        <w:rPr>
          <w:rFonts w:ascii="Arial" w:hAnsi="Arial" w:cs="Arial"/>
          <w:b/>
          <w:color w:val="auto"/>
          <w:szCs w:val="24"/>
        </w:rPr>
        <w:t>7</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FE0E74">
                              <w:rPr>
                                <w:b/>
                                <w:sz w:val="24"/>
                              </w:rPr>
                              <w:t>7</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FE0E74">
                        <w:rPr>
                          <w:b/>
                          <w:sz w:val="24"/>
                        </w:rPr>
                        <w:t>7</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FE0E74">
        <w:rPr>
          <w:b/>
          <w:color w:val="000000"/>
          <w:sz w:val="24"/>
          <w:szCs w:val="24"/>
        </w:rPr>
        <w:t>7</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C9427B">
        <w:rPr>
          <w:b/>
          <w:color w:val="000000"/>
        </w:rPr>
        <w:t>3</w:t>
      </w:r>
      <w:r w:rsidR="00FE0E74">
        <w:rPr>
          <w:b/>
          <w:color w:val="000000"/>
        </w:rPr>
        <w:t>7</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E0E74">
                              <w:rPr>
                                <w:b/>
                                <w:sz w:val="24"/>
                              </w:rPr>
                              <w:t>37</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FE0E74">
                        <w:rPr>
                          <w:b/>
                          <w:sz w:val="24"/>
                        </w:rPr>
                        <w:t>37</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C9427B">
        <w:rPr>
          <w:rFonts w:cs="Arial"/>
          <w:b/>
          <w:szCs w:val="24"/>
        </w:rPr>
        <w:t>3</w:t>
      </w:r>
      <w:r w:rsidR="00FE0E74">
        <w:rPr>
          <w:rFonts w:cs="Arial"/>
          <w:b/>
          <w:szCs w:val="24"/>
        </w:rPr>
        <w:t>7</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FE0E74">
                        <w:rPr>
                          <w:b/>
                          <w:sz w:val="24"/>
                        </w:rPr>
                        <w:t>7</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FE0E74">
        <w:rPr>
          <w:b/>
          <w:color w:val="000000"/>
          <w:sz w:val="24"/>
          <w:szCs w:val="24"/>
        </w:rPr>
        <w:t>7</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C9427B">
        <w:rPr>
          <w:b/>
        </w:rPr>
        <w:t>3</w:t>
      </w:r>
      <w:r w:rsidR="00FE0E74">
        <w:rPr>
          <w:b/>
        </w:rPr>
        <w:t>7</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C9427B">
        <w:rPr>
          <w:b/>
        </w:rPr>
        <w:t>3</w:t>
      </w:r>
      <w:r w:rsidR="00FE0E74">
        <w:rPr>
          <w:b/>
        </w:rPr>
        <w:t>7</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E0E74">
                              <w:rPr>
                                <w:b/>
                                <w:sz w:val="24"/>
                              </w:rPr>
                              <w:t>37</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FE0E74">
                        <w:rPr>
                          <w:b/>
                          <w:sz w:val="24"/>
                        </w:rPr>
                        <w:t>37</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FE0E74">
        <w:rPr>
          <w:b/>
          <w:color w:val="000000"/>
          <w:sz w:val="24"/>
          <w:szCs w:val="24"/>
        </w:rPr>
        <w:t>7</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1D4A7F"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C9427B">
      <w:rPr>
        <w:spacing w:val="20"/>
        <w:sz w:val="14"/>
      </w:rPr>
      <w:t>3</w:t>
    </w:r>
    <w:r w:rsidR="00FE0E74">
      <w:rPr>
        <w:spacing w:val="20"/>
        <w:sz w:val="14"/>
      </w:rPr>
      <w:t>7</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1D4A7F">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1D4A7F">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C9427B">
      <w:rPr>
        <w:spacing w:val="20"/>
        <w:sz w:val="14"/>
      </w:rPr>
      <w:t>3</w:t>
    </w:r>
    <w:r w:rsidR="00FE0E74">
      <w:rPr>
        <w:spacing w:val="20"/>
        <w:sz w:val="14"/>
      </w:rPr>
      <w:t>7</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1D4A7F">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1D4A7F">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277CB"/>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4A7F"/>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36379"/>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2C86"/>
    <w:rsid w:val="00753FF4"/>
    <w:rsid w:val="00755504"/>
    <w:rsid w:val="007578CD"/>
    <w:rsid w:val="007644A8"/>
    <w:rsid w:val="007662F7"/>
    <w:rsid w:val="00766B2F"/>
    <w:rsid w:val="007674BA"/>
    <w:rsid w:val="007737A1"/>
    <w:rsid w:val="00774301"/>
    <w:rsid w:val="00774A4E"/>
    <w:rsid w:val="007760BE"/>
    <w:rsid w:val="00781317"/>
    <w:rsid w:val="007813B4"/>
    <w:rsid w:val="00784451"/>
    <w:rsid w:val="00785B1F"/>
    <w:rsid w:val="00786DF1"/>
    <w:rsid w:val="00787630"/>
    <w:rsid w:val="007905FF"/>
    <w:rsid w:val="00793318"/>
    <w:rsid w:val="00794BEB"/>
    <w:rsid w:val="007A0ED5"/>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5377"/>
    <w:rsid w:val="00C86654"/>
    <w:rsid w:val="00C8778F"/>
    <w:rsid w:val="00C9427B"/>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17388"/>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0E74"/>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1F57-E24F-4B14-BF83-98B90C35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57</Pages>
  <Words>17481</Words>
  <Characters>94402</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49</cp:revision>
  <cp:lastPrinted>2018-11-28T19:35:00Z</cp:lastPrinted>
  <dcterms:created xsi:type="dcterms:W3CDTF">2018-11-20T11:15:00Z</dcterms:created>
  <dcterms:modified xsi:type="dcterms:W3CDTF">2018-11-29T10:21:00Z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